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411E" w14:textId="77777777"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14:paraId="1B464121" w14:textId="77777777" w:rsidTr="005F7F7E">
        <w:tc>
          <w:tcPr>
            <w:tcW w:w="2438" w:type="dxa"/>
            <w:shd w:val="clear" w:color="auto" w:fill="auto"/>
          </w:tcPr>
          <w:p w14:paraId="1B46411F"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1B464120" w14:textId="736DF562" w:rsidR="00F445B1" w:rsidRPr="00F95BC9" w:rsidRDefault="006F510D" w:rsidP="004A6D2F">
            <w:pPr>
              <w:rPr>
                <w:rStyle w:val="Firstpagetablebold"/>
              </w:rPr>
            </w:pPr>
            <w:r>
              <w:rPr>
                <w:rStyle w:val="Firstpagetablebold"/>
              </w:rPr>
              <w:t>Council</w:t>
            </w:r>
          </w:p>
        </w:tc>
      </w:tr>
      <w:tr w:rsidR="00CE544A" w:rsidRPr="00975B07" w14:paraId="1B464124" w14:textId="77777777" w:rsidTr="005F7F7E">
        <w:tc>
          <w:tcPr>
            <w:tcW w:w="2438" w:type="dxa"/>
            <w:shd w:val="clear" w:color="auto" w:fill="auto"/>
          </w:tcPr>
          <w:p w14:paraId="1B464122" w14:textId="77777777"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14:paraId="1B464123" w14:textId="58FFBA34" w:rsidR="00F445B1" w:rsidRPr="001356F1" w:rsidRDefault="006F510D" w:rsidP="005D0621">
            <w:pPr>
              <w:rPr>
                <w:b/>
              </w:rPr>
            </w:pPr>
            <w:r>
              <w:rPr>
                <w:b/>
              </w:rPr>
              <w:t>25 November 2024</w:t>
            </w:r>
          </w:p>
        </w:tc>
      </w:tr>
      <w:tr w:rsidR="00CE544A" w:rsidRPr="00975B07" w14:paraId="1B464127" w14:textId="77777777" w:rsidTr="005F7F7E">
        <w:tc>
          <w:tcPr>
            <w:tcW w:w="2438" w:type="dxa"/>
            <w:shd w:val="clear" w:color="auto" w:fill="auto"/>
          </w:tcPr>
          <w:p w14:paraId="1B464125"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1B464126" w14:textId="70C0E4B8" w:rsidR="00F445B1" w:rsidRPr="001356F1" w:rsidRDefault="006F510D" w:rsidP="004A6D2F">
            <w:pPr>
              <w:rPr>
                <w:rStyle w:val="Firstpagetablebold"/>
              </w:rPr>
            </w:pPr>
            <w:r>
              <w:rPr>
                <w:rStyle w:val="Firstpagetablebold"/>
              </w:rPr>
              <w:t>Monitoring Officer (Head of Law &amp; Governance)</w:t>
            </w:r>
          </w:p>
        </w:tc>
      </w:tr>
      <w:tr w:rsidR="00CE544A" w:rsidRPr="00975B07" w14:paraId="1B46412A" w14:textId="77777777" w:rsidTr="005F7F7E">
        <w:tc>
          <w:tcPr>
            <w:tcW w:w="2438" w:type="dxa"/>
            <w:shd w:val="clear" w:color="auto" w:fill="auto"/>
          </w:tcPr>
          <w:p w14:paraId="1B464128"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1B464129" w14:textId="4C614896" w:rsidR="00F445B1" w:rsidRPr="001356F1" w:rsidRDefault="006F510D" w:rsidP="004A6D2F">
            <w:pPr>
              <w:rPr>
                <w:rStyle w:val="Firstpagetablebold"/>
              </w:rPr>
            </w:pPr>
            <w:r>
              <w:rPr>
                <w:rStyle w:val="Firstpagetablebold"/>
              </w:rPr>
              <w:t xml:space="preserve">Constitutional Amendments </w:t>
            </w:r>
            <w:r w:rsidR="006F4DC3">
              <w:rPr>
                <w:rStyle w:val="Firstpagetablebold"/>
              </w:rPr>
              <w:t xml:space="preserve">– updated Contract Rules </w:t>
            </w:r>
          </w:p>
        </w:tc>
      </w:tr>
    </w:tbl>
    <w:p w14:paraId="1B46412B" w14:textId="77777777"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2012"/>
        <w:gridCol w:w="6407"/>
      </w:tblGrid>
      <w:tr w:rsidR="00D5547E" w14:paraId="1B46412D" w14:textId="77777777" w:rsidTr="0080749A">
        <w:tc>
          <w:tcPr>
            <w:tcW w:w="8845" w:type="dxa"/>
            <w:gridSpan w:val="3"/>
            <w:tcBorders>
              <w:bottom w:val="single" w:sz="8" w:space="0" w:color="000000"/>
            </w:tcBorders>
            <w:hideMark/>
          </w:tcPr>
          <w:p w14:paraId="1B46412C" w14:textId="77777777"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14:paraId="1B464130" w14:textId="77777777" w:rsidTr="0080749A">
        <w:tc>
          <w:tcPr>
            <w:tcW w:w="2438" w:type="dxa"/>
            <w:gridSpan w:val="2"/>
            <w:tcBorders>
              <w:top w:val="single" w:sz="8" w:space="0" w:color="000000"/>
              <w:left w:val="single" w:sz="8" w:space="0" w:color="000000"/>
              <w:bottom w:val="nil"/>
              <w:right w:val="nil"/>
            </w:tcBorders>
            <w:hideMark/>
          </w:tcPr>
          <w:p w14:paraId="1B46412E" w14:textId="77777777"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14:paraId="1B46412F" w14:textId="28E51546" w:rsidR="00D5547E" w:rsidRPr="001356F1" w:rsidRDefault="00EE3233" w:rsidP="00821AAF">
            <w:r>
              <w:t>To seek approval to the updated Contract Rules</w:t>
            </w:r>
            <w:r w:rsidR="009A2AC9">
              <w:t xml:space="preserve"> and other changes consequential to them. </w:t>
            </w:r>
          </w:p>
        </w:tc>
      </w:tr>
      <w:tr w:rsidR="00D5547E" w14:paraId="1B464133" w14:textId="77777777" w:rsidTr="0080749A">
        <w:tc>
          <w:tcPr>
            <w:tcW w:w="2438" w:type="dxa"/>
            <w:gridSpan w:val="2"/>
            <w:tcBorders>
              <w:top w:val="nil"/>
              <w:left w:val="single" w:sz="8" w:space="0" w:color="000000"/>
              <w:bottom w:val="nil"/>
              <w:right w:val="nil"/>
            </w:tcBorders>
            <w:hideMark/>
          </w:tcPr>
          <w:p w14:paraId="1B464131" w14:textId="77777777" w:rsidR="00D5547E" w:rsidRDefault="00D5547E">
            <w:pPr>
              <w:rPr>
                <w:rStyle w:val="Firstpagetablebold"/>
              </w:rPr>
            </w:pPr>
            <w:r>
              <w:rPr>
                <w:rStyle w:val="Firstpagetablebold"/>
              </w:rPr>
              <w:t>Key decision:</w:t>
            </w:r>
          </w:p>
        </w:tc>
        <w:tc>
          <w:tcPr>
            <w:tcW w:w="6407" w:type="dxa"/>
            <w:tcBorders>
              <w:top w:val="nil"/>
              <w:left w:val="nil"/>
              <w:bottom w:val="nil"/>
              <w:right w:val="single" w:sz="8" w:space="0" w:color="000000"/>
            </w:tcBorders>
            <w:hideMark/>
          </w:tcPr>
          <w:p w14:paraId="1B464132" w14:textId="1D373323" w:rsidR="00D5547E" w:rsidRPr="001356F1" w:rsidRDefault="009A2AC9" w:rsidP="005F7F7E">
            <w:r>
              <w:t>No</w:t>
            </w:r>
          </w:p>
        </w:tc>
      </w:tr>
      <w:tr w:rsidR="00D5547E" w14:paraId="1B464136" w14:textId="77777777" w:rsidTr="0080749A">
        <w:tc>
          <w:tcPr>
            <w:tcW w:w="2438" w:type="dxa"/>
            <w:gridSpan w:val="2"/>
            <w:tcBorders>
              <w:top w:val="nil"/>
              <w:left w:val="single" w:sz="8" w:space="0" w:color="000000"/>
              <w:bottom w:val="nil"/>
              <w:right w:val="nil"/>
            </w:tcBorders>
            <w:hideMark/>
          </w:tcPr>
          <w:p w14:paraId="1B464134" w14:textId="77777777" w:rsidR="00D5547E" w:rsidRDefault="00F913EC">
            <w:pPr>
              <w:rPr>
                <w:rStyle w:val="Firstpagetablebold"/>
              </w:rPr>
            </w:pPr>
            <w:r>
              <w:rPr>
                <w:rStyle w:val="Firstpagetablebold"/>
              </w:rPr>
              <w:t>Cabinet</w:t>
            </w:r>
            <w:r w:rsidR="00D5547E">
              <w:rPr>
                <w:rStyle w:val="Firstpagetablebold"/>
              </w:rPr>
              <w:t xml:space="preserve"> Member</w:t>
            </w:r>
            <w:r w:rsidR="00A44635">
              <w:rPr>
                <w:rStyle w:val="Firstpagetablebold"/>
              </w:rPr>
              <w:t xml:space="preserve"> with responsibility</w:t>
            </w:r>
            <w:r w:rsidR="00D5547E">
              <w:rPr>
                <w:rStyle w:val="Firstpagetablebold"/>
              </w:rPr>
              <w:t>:</w:t>
            </w:r>
          </w:p>
        </w:tc>
        <w:tc>
          <w:tcPr>
            <w:tcW w:w="6407" w:type="dxa"/>
            <w:tcBorders>
              <w:top w:val="nil"/>
              <w:left w:val="nil"/>
              <w:bottom w:val="nil"/>
              <w:right w:val="single" w:sz="8" w:space="0" w:color="000000"/>
            </w:tcBorders>
            <w:hideMark/>
          </w:tcPr>
          <w:p w14:paraId="1B464135" w14:textId="42A64BF2" w:rsidR="00D5547E" w:rsidRPr="001356F1" w:rsidRDefault="009A2AC9" w:rsidP="005F7F7E">
            <w:r>
              <w:t xml:space="preserve">Cllr Susan Brown, Leader of the Council </w:t>
            </w:r>
          </w:p>
        </w:tc>
      </w:tr>
      <w:tr w:rsidR="0080749A" w14:paraId="1B464139" w14:textId="77777777" w:rsidTr="0080749A">
        <w:tc>
          <w:tcPr>
            <w:tcW w:w="2438" w:type="dxa"/>
            <w:gridSpan w:val="2"/>
            <w:tcBorders>
              <w:top w:val="nil"/>
              <w:left w:val="single" w:sz="8" w:space="0" w:color="000000"/>
              <w:bottom w:val="nil"/>
              <w:right w:val="nil"/>
            </w:tcBorders>
          </w:tcPr>
          <w:p w14:paraId="1B464137" w14:textId="77777777" w:rsidR="0080749A" w:rsidRDefault="0080749A">
            <w:pPr>
              <w:rPr>
                <w:rStyle w:val="Firstpagetablebold"/>
              </w:rPr>
            </w:pPr>
            <w:r>
              <w:rPr>
                <w:rStyle w:val="Firstpagetablebold"/>
              </w:rPr>
              <w:t>Corporate Priority:</w:t>
            </w:r>
          </w:p>
        </w:tc>
        <w:tc>
          <w:tcPr>
            <w:tcW w:w="6407" w:type="dxa"/>
            <w:tcBorders>
              <w:top w:val="nil"/>
              <w:left w:val="nil"/>
              <w:bottom w:val="nil"/>
              <w:right w:val="single" w:sz="8" w:space="0" w:color="000000"/>
            </w:tcBorders>
          </w:tcPr>
          <w:p w14:paraId="1B464138" w14:textId="67AAAB54" w:rsidR="0080749A" w:rsidRPr="001356F1" w:rsidRDefault="00411FEE" w:rsidP="005F7F7E">
            <w:r>
              <w:t xml:space="preserve">A </w:t>
            </w:r>
            <w:proofErr w:type="gramStart"/>
            <w:r w:rsidR="006823FC">
              <w:t>Well Run</w:t>
            </w:r>
            <w:proofErr w:type="gramEnd"/>
            <w:r w:rsidR="006823FC">
              <w:t xml:space="preserve"> Council</w:t>
            </w:r>
            <w:r w:rsidR="0080749A" w:rsidRPr="001356F1">
              <w:t>.</w:t>
            </w:r>
          </w:p>
        </w:tc>
      </w:tr>
      <w:tr w:rsidR="00D5547E" w14:paraId="1B46413C" w14:textId="77777777" w:rsidTr="0080749A">
        <w:tc>
          <w:tcPr>
            <w:tcW w:w="2438" w:type="dxa"/>
            <w:gridSpan w:val="2"/>
            <w:tcBorders>
              <w:top w:val="nil"/>
              <w:left w:val="single" w:sz="8" w:space="0" w:color="000000"/>
              <w:bottom w:val="nil"/>
              <w:right w:val="nil"/>
            </w:tcBorders>
            <w:hideMark/>
          </w:tcPr>
          <w:p w14:paraId="1B46413A" w14:textId="77777777" w:rsidR="00D5547E" w:rsidRDefault="00D5547E">
            <w:pPr>
              <w:rPr>
                <w:rStyle w:val="Firstpagetablebold"/>
              </w:rPr>
            </w:pPr>
            <w:r>
              <w:rPr>
                <w:rStyle w:val="Firstpagetablebold"/>
              </w:rPr>
              <w:t>Policy Framework:</w:t>
            </w:r>
          </w:p>
        </w:tc>
        <w:tc>
          <w:tcPr>
            <w:tcW w:w="6407" w:type="dxa"/>
            <w:tcBorders>
              <w:top w:val="nil"/>
              <w:left w:val="nil"/>
              <w:bottom w:val="nil"/>
              <w:right w:val="single" w:sz="8" w:space="0" w:color="000000"/>
            </w:tcBorders>
            <w:hideMark/>
          </w:tcPr>
          <w:p w14:paraId="1B46413B" w14:textId="6F5637B0" w:rsidR="00D5547E" w:rsidRPr="001356F1" w:rsidRDefault="00411FEE" w:rsidP="005F7F7E">
            <w:r>
              <w:t>None.</w:t>
            </w:r>
          </w:p>
        </w:tc>
      </w:tr>
      <w:tr w:rsidR="005F7F7E" w:rsidRPr="00975B07" w14:paraId="1B46413E" w14:textId="77777777" w:rsidTr="00A46E98">
        <w:trPr>
          <w:trHeight w:val="413"/>
        </w:trPr>
        <w:tc>
          <w:tcPr>
            <w:tcW w:w="8845" w:type="dxa"/>
            <w:gridSpan w:val="3"/>
            <w:tcBorders>
              <w:bottom w:val="single" w:sz="8" w:space="0" w:color="000000"/>
            </w:tcBorders>
          </w:tcPr>
          <w:p w14:paraId="1B46413D" w14:textId="77777777" w:rsidR="005F7F7E" w:rsidRPr="00975B07" w:rsidRDefault="005F7F7E" w:rsidP="00821AAF">
            <w:r>
              <w:rPr>
                <w:rStyle w:val="Firstpagetablebold"/>
              </w:rPr>
              <w:t>Recommendation(s</w:t>
            </w:r>
            <w:proofErr w:type="gramStart"/>
            <w:r>
              <w:rPr>
                <w:rStyle w:val="Firstpagetablebold"/>
              </w:rPr>
              <w:t>):That</w:t>
            </w:r>
            <w:proofErr w:type="gramEnd"/>
            <w:r>
              <w:rPr>
                <w:rStyle w:val="Firstpagetablebold"/>
              </w:rPr>
              <w:t xml:space="preserve"> the </w:t>
            </w:r>
            <w:r w:rsidR="00821AAF">
              <w:rPr>
                <w:rStyle w:val="Firstpagetablebold"/>
              </w:rPr>
              <w:t>Committee</w:t>
            </w:r>
            <w:r>
              <w:rPr>
                <w:rStyle w:val="Firstpagetablebold"/>
              </w:rPr>
              <w:t xml:space="preserve"> resolves to:</w:t>
            </w:r>
          </w:p>
        </w:tc>
      </w:tr>
      <w:tr w:rsidR="0030208D" w:rsidRPr="00975B07" w14:paraId="1B464141" w14:textId="77777777" w:rsidTr="00A46E98">
        <w:trPr>
          <w:trHeight w:val="283"/>
        </w:trPr>
        <w:tc>
          <w:tcPr>
            <w:tcW w:w="426" w:type="dxa"/>
            <w:tcBorders>
              <w:top w:val="single" w:sz="8" w:space="0" w:color="000000"/>
              <w:left w:val="single" w:sz="8" w:space="0" w:color="000000"/>
              <w:bottom w:val="nil"/>
              <w:right w:val="nil"/>
            </w:tcBorders>
          </w:tcPr>
          <w:p w14:paraId="1B46413F" w14:textId="77777777" w:rsidR="0030208D" w:rsidRPr="00975B07" w:rsidRDefault="00046D2B" w:rsidP="004A6D2F">
            <w:r w:rsidRPr="00975B07">
              <w:t>1.</w:t>
            </w:r>
          </w:p>
        </w:tc>
        <w:tc>
          <w:tcPr>
            <w:tcW w:w="8419" w:type="dxa"/>
            <w:gridSpan w:val="2"/>
            <w:tcBorders>
              <w:top w:val="single" w:sz="8" w:space="0" w:color="000000"/>
              <w:left w:val="nil"/>
              <w:bottom w:val="nil"/>
              <w:right w:val="single" w:sz="8" w:space="0" w:color="000000"/>
            </w:tcBorders>
            <w:shd w:val="clear" w:color="auto" w:fill="auto"/>
          </w:tcPr>
          <w:p w14:paraId="009B0C69" w14:textId="77777777" w:rsidR="00C566A8" w:rsidRDefault="00411FEE" w:rsidP="002069B3">
            <w:pPr>
              <w:rPr>
                <w:rStyle w:val="Firstpagetablebold"/>
              </w:rPr>
            </w:pPr>
            <w:r>
              <w:rPr>
                <w:rStyle w:val="Firstpagetablebold"/>
              </w:rPr>
              <w:t xml:space="preserve">To approve the </w:t>
            </w:r>
            <w:r w:rsidR="00C566A8">
              <w:rPr>
                <w:rStyle w:val="Firstpagetablebold"/>
              </w:rPr>
              <w:t>amendments</w:t>
            </w:r>
            <w:r>
              <w:rPr>
                <w:rStyle w:val="Firstpagetablebold"/>
              </w:rPr>
              <w:t xml:space="preserve"> to</w:t>
            </w:r>
          </w:p>
          <w:p w14:paraId="49FCA652" w14:textId="77777777" w:rsidR="0030208D" w:rsidRDefault="00C566A8" w:rsidP="00C566A8">
            <w:pPr>
              <w:pStyle w:val="ListParagraph"/>
              <w:numPr>
                <w:ilvl w:val="0"/>
                <w:numId w:val="34"/>
              </w:numPr>
            </w:pPr>
            <w:r>
              <w:t xml:space="preserve">The Contract Rules as attached at Appendix One </w:t>
            </w:r>
          </w:p>
          <w:p w14:paraId="7260F63D" w14:textId="4BFE2E1F" w:rsidR="00C566A8" w:rsidRDefault="00CC0428" w:rsidP="00C566A8">
            <w:pPr>
              <w:pStyle w:val="ListParagraph"/>
              <w:numPr>
                <w:ilvl w:val="0"/>
                <w:numId w:val="34"/>
              </w:numPr>
            </w:pPr>
            <w:r>
              <w:t xml:space="preserve">Part 4.4 (Publication of Officer Decisions) as set out at paragraph </w:t>
            </w:r>
            <w:proofErr w:type="gramStart"/>
            <w:r w:rsidR="00854E87">
              <w:t>10</w:t>
            </w:r>
            <w:r>
              <w:t>;</w:t>
            </w:r>
            <w:proofErr w:type="gramEnd"/>
            <w:r>
              <w:t xml:space="preserve"> </w:t>
            </w:r>
          </w:p>
          <w:p w14:paraId="509EFE43" w14:textId="2D80AB61" w:rsidR="00CC0428" w:rsidRDefault="000E56BD" w:rsidP="00C566A8">
            <w:pPr>
              <w:pStyle w:val="ListParagraph"/>
              <w:numPr>
                <w:ilvl w:val="0"/>
                <w:numId w:val="34"/>
              </w:numPr>
            </w:pPr>
            <w:r>
              <w:t xml:space="preserve">Part 15.4 (Key Decisions) as set out at paragraph </w:t>
            </w:r>
            <w:proofErr w:type="gramStart"/>
            <w:r w:rsidR="00854E87">
              <w:t>16</w:t>
            </w:r>
            <w:r>
              <w:t>;</w:t>
            </w:r>
            <w:proofErr w:type="gramEnd"/>
            <w:r>
              <w:t xml:space="preserve"> </w:t>
            </w:r>
          </w:p>
          <w:p w14:paraId="4FFC91AE" w14:textId="6F9B2010" w:rsidR="000E56BD" w:rsidRDefault="000E56BD" w:rsidP="00C566A8">
            <w:pPr>
              <w:pStyle w:val="ListParagraph"/>
              <w:numPr>
                <w:ilvl w:val="0"/>
                <w:numId w:val="34"/>
              </w:numPr>
            </w:pPr>
            <w:r>
              <w:t xml:space="preserve">Part 4.5 (Decisions that must be agreed by Cabinet) as set out at paragraph </w:t>
            </w:r>
            <w:proofErr w:type="gramStart"/>
            <w:r w:rsidR="00854E87">
              <w:t>17</w:t>
            </w:r>
            <w:r w:rsidR="006272E6">
              <w:t>;</w:t>
            </w:r>
            <w:proofErr w:type="gramEnd"/>
            <w:r w:rsidR="006272E6">
              <w:t xml:space="preserve"> </w:t>
            </w:r>
          </w:p>
          <w:p w14:paraId="1B464140" w14:textId="524B857D" w:rsidR="006272E6" w:rsidRPr="001356F1" w:rsidRDefault="006272E6" w:rsidP="00C566A8">
            <w:pPr>
              <w:pStyle w:val="ListParagraph"/>
              <w:numPr>
                <w:ilvl w:val="0"/>
                <w:numId w:val="34"/>
              </w:numPr>
            </w:pPr>
            <w:r>
              <w:t xml:space="preserve">The Financial Rules as set out at paragraph </w:t>
            </w:r>
            <w:r w:rsidR="00854E87">
              <w:t>18</w:t>
            </w:r>
            <w:r>
              <w:t xml:space="preserve">. </w:t>
            </w:r>
          </w:p>
        </w:tc>
      </w:tr>
      <w:tr w:rsidR="00BA5786" w:rsidRPr="00975B07" w14:paraId="1B46414D" w14:textId="77777777" w:rsidTr="00A46E98">
        <w:trPr>
          <w:trHeight w:val="283"/>
        </w:trPr>
        <w:tc>
          <w:tcPr>
            <w:tcW w:w="426" w:type="dxa"/>
            <w:tcBorders>
              <w:top w:val="nil"/>
              <w:left w:val="single" w:sz="8" w:space="0" w:color="000000"/>
              <w:bottom w:val="single" w:sz="8" w:space="0" w:color="000000"/>
              <w:right w:val="nil"/>
            </w:tcBorders>
          </w:tcPr>
          <w:p w14:paraId="1B46414B" w14:textId="63DA0BAD" w:rsidR="00BA5786" w:rsidRPr="00975B07" w:rsidRDefault="00BA5786" w:rsidP="00BA5786">
            <w:r>
              <w:rPr>
                <w:rStyle w:val="Firstpagetablebold"/>
              </w:rPr>
              <w:t>2.</w:t>
            </w:r>
            <w:r w:rsidRPr="00205B7A">
              <w:rPr>
                <w:rStyle w:val="Firstpagetablebold"/>
                <w:b w:val="0"/>
                <w:bCs/>
              </w:rPr>
              <w:t xml:space="preserve"> </w:t>
            </w:r>
          </w:p>
        </w:tc>
        <w:tc>
          <w:tcPr>
            <w:tcW w:w="8419" w:type="dxa"/>
            <w:gridSpan w:val="2"/>
            <w:tcBorders>
              <w:top w:val="nil"/>
              <w:left w:val="nil"/>
              <w:bottom w:val="single" w:sz="8" w:space="0" w:color="000000"/>
              <w:right w:val="single" w:sz="8" w:space="0" w:color="000000"/>
            </w:tcBorders>
            <w:shd w:val="clear" w:color="auto" w:fill="auto"/>
          </w:tcPr>
          <w:p w14:paraId="1B46414C" w14:textId="294F544F" w:rsidR="00BA5786" w:rsidRPr="001356F1" w:rsidRDefault="00BA5786" w:rsidP="00BA5786">
            <w:r w:rsidRPr="00205B7A">
              <w:rPr>
                <w:rStyle w:val="Firstpagetablebold"/>
              </w:rPr>
              <w:t xml:space="preserve">To delegate authority to the Monitoring Officer </w:t>
            </w:r>
            <w:r w:rsidRPr="00205B7A">
              <w:rPr>
                <w:rStyle w:val="Firstpagetablebold"/>
                <w:b w:val="0"/>
                <w:bCs/>
              </w:rPr>
              <w:t xml:space="preserve">to make any other consequential amendments to the Constitution to reflect the above changes to the extent that they have not been identified in the above, provided such changes are purely required as a direct consequence </w:t>
            </w:r>
          </w:p>
        </w:tc>
      </w:tr>
    </w:tbl>
    <w:p w14:paraId="1B46414E" w14:textId="77777777"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14:paraId="1B464150" w14:textId="77777777" w:rsidTr="00A46E98">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14:paraId="1B46414F" w14:textId="77777777" w:rsidR="00966D42" w:rsidRPr="00975B07" w:rsidRDefault="00966D42" w:rsidP="00263EA3">
            <w:pPr>
              <w:jc w:val="center"/>
            </w:pPr>
            <w:r w:rsidRPr="00745BF0">
              <w:rPr>
                <w:rStyle w:val="Firstpagetablebold"/>
              </w:rPr>
              <w:t>Appendices</w:t>
            </w:r>
          </w:p>
        </w:tc>
      </w:tr>
      <w:tr w:rsidR="00D65DAE" w:rsidRPr="00975B07" w14:paraId="1B464153" w14:textId="77777777" w:rsidTr="00D65DAE">
        <w:trPr>
          <w:trHeight w:val="497"/>
        </w:trPr>
        <w:tc>
          <w:tcPr>
            <w:tcW w:w="2438" w:type="dxa"/>
            <w:tcBorders>
              <w:top w:val="single" w:sz="8" w:space="0" w:color="000000"/>
              <w:left w:val="single" w:sz="8" w:space="0" w:color="000000"/>
              <w:right w:val="nil"/>
            </w:tcBorders>
            <w:shd w:val="clear" w:color="auto" w:fill="auto"/>
          </w:tcPr>
          <w:p w14:paraId="1B464151" w14:textId="77777777" w:rsidR="00D65DAE" w:rsidRPr="00975B07" w:rsidRDefault="00D65DAE" w:rsidP="004A6D2F">
            <w:r w:rsidRPr="00975B07">
              <w:t>Appendix 1</w:t>
            </w:r>
          </w:p>
        </w:tc>
        <w:tc>
          <w:tcPr>
            <w:tcW w:w="6406" w:type="dxa"/>
            <w:tcBorders>
              <w:top w:val="single" w:sz="8" w:space="0" w:color="000000"/>
              <w:left w:val="nil"/>
              <w:right w:val="single" w:sz="8" w:space="0" w:color="000000"/>
            </w:tcBorders>
          </w:tcPr>
          <w:p w14:paraId="1B464152" w14:textId="299431CB" w:rsidR="00D65DAE" w:rsidRPr="001356F1" w:rsidRDefault="00D65DAE" w:rsidP="004A6D2F">
            <w:r>
              <w:t xml:space="preserve">Contract Rules (amended) </w:t>
            </w:r>
          </w:p>
        </w:tc>
      </w:tr>
    </w:tbl>
    <w:p w14:paraId="1B46415D" w14:textId="77777777" w:rsidR="0040736F" w:rsidRPr="001356F1" w:rsidRDefault="00F66DCA" w:rsidP="004A6D2F">
      <w:pPr>
        <w:pStyle w:val="Heading1"/>
      </w:pPr>
      <w:r w:rsidRPr="001356F1">
        <w:t>Introduction and b</w:t>
      </w:r>
      <w:r w:rsidR="00151888" w:rsidRPr="001356F1">
        <w:t>ackground</w:t>
      </w:r>
      <w:r w:rsidR="00404032" w:rsidRPr="001356F1">
        <w:t xml:space="preserve"> </w:t>
      </w:r>
    </w:p>
    <w:p w14:paraId="45E6515D" w14:textId="452EC752" w:rsidR="009C2200" w:rsidRDefault="00D65DAE" w:rsidP="005570B5">
      <w:pPr>
        <w:pStyle w:val="ListParagraph"/>
      </w:pPr>
      <w:r>
        <w:t xml:space="preserve">The Procurement Act 2023, though delayed from October 2024, is due to be implemented by the Government in February 2024. </w:t>
      </w:r>
      <w:r w:rsidR="00B524FA">
        <w:t>Therefore</w:t>
      </w:r>
      <w:r w:rsidR="009C2200">
        <w:t>,</w:t>
      </w:r>
      <w:r>
        <w:t xml:space="preserve"> there are </w:t>
      </w:r>
      <w:proofErr w:type="gramStart"/>
      <w:r>
        <w:t>a number of</w:t>
      </w:r>
      <w:proofErr w:type="gramEnd"/>
      <w:r>
        <w:t xml:space="preserve"> changes that need to be made to the Contract Rules to</w:t>
      </w:r>
      <w:r w:rsidR="009C2200">
        <w:t xml:space="preserve"> accommodate the </w:t>
      </w:r>
      <w:r w:rsidR="009C2200">
        <w:lastRenderedPageBreak/>
        <w:t xml:space="preserve">legislative changes and also ensure that the Contract Rules are adaptable as procurement guidance and secondary legislation is brought forward. </w:t>
      </w:r>
    </w:p>
    <w:p w14:paraId="32EF884A" w14:textId="5DF29AC7" w:rsidR="00867976" w:rsidRDefault="009C2200" w:rsidP="005570B5">
      <w:pPr>
        <w:pStyle w:val="ListParagraph"/>
      </w:pPr>
      <w:r>
        <w:t xml:space="preserve">In undertaking a review of the Contract rules consequential changes to other parts of the Constitution have been identified to ensure consistency and reduce the </w:t>
      </w:r>
      <w:r w:rsidR="00867976">
        <w:t>desperate</w:t>
      </w:r>
      <w:r>
        <w:t xml:space="preserve"> </w:t>
      </w:r>
      <w:r w:rsidR="00B524FA">
        <w:t>decision-making</w:t>
      </w:r>
      <w:r>
        <w:t xml:space="preserve"> thresholds for connected but independent </w:t>
      </w:r>
      <w:r w:rsidR="00867976">
        <w:t xml:space="preserve">matters e.g. approvals under the Financial Rules. </w:t>
      </w:r>
    </w:p>
    <w:p w14:paraId="0450B084" w14:textId="7316FA34" w:rsidR="00B524FA" w:rsidRDefault="00B524FA" w:rsidP="005570B5">
      <w:pPr>
        <w:pStyle w:val="ListParagraph"/>
      </w:pPr>
      <w:r>
        <w:t xml:space="preserve">In undertaking the review, it has also been identified there are some connected provisions which either need to be amended for clarity (the Key Decision definition) or to reflect the proper legislative requirements (publication of officer decisions). </w:t>
      </w:r>
    </w:p>
    <w:p w14:paraId="1B46415E" w14:textId="59F806AF" w:rsidR="00E87F7A" w:rsidRPr="001356F1" w:rsidRDefault="00E87F7A" w:rsidP="005570B5">
      <w:pPr>
        <w:pStyle w:val="ListParagraph"/>
      </w:pPr>
      <w:r w:rsidRPr="001356F1">
        <w:t>T</w:t>
      </w:r>
      <w:r w:rsidR="00B524FA">
        <w:t xml:space="preserve">he full constitutional review is ongoing with Member working groups planned for the new year prior to it being brought to Council. </w:t>
      </w:r>
      <w:proofErr w:type="gramStart"/>
      <w:r w:rsidR="00B524FA">
        <w:t>However</w:t>
      </w:r>
      <w:proofErr w:type="gramEnd"/>
      <w:r w:rsidR="00B524FA">
        <w:t xml:space="preserve"> with the impending commencement of the Procurement Act these operational changes have been brought forward independently. </w:t>
      </w:r>
    </w:p>
    <w:p w14:paraId="1B46415F" w14:textId="4EC66525" w:rsidR="00633578" w:rsidRPr="001356F1" w:rsidRDefault="00B524FA" w:rsidP="00E87F7A">
      <w:pPr>
        <w:pStyle w:val="Heading1"/>
      </w:pPr>
      <w:r>
        <w:t xml:space="preserve">Amendments to the Contract Rules </w:t>
      </w:r>
    </w:p>
    <w:p w14:paraId="6D9B3922" w14:textId="76AE8630" w:rsidR="00F618C7" w:rsidRDefault="00F618C7" w:rsidP="00F618C7">
      <w:pPr>
        <w:pStyle w:val="ListParagraph"/>
      </w:pPr>
      <w:r>
        <w:t xml:space="preserve">The contract rules have been amended in anticipation of changes coming with the Procurement Act and to streamline and simplify. </w:t>
      </w:r>
    </w:p>
    <w:p w14:paraId="6870E9C7" w14:textId="77777777" w:rsidR="006634E8" w:rsidRDefault="00F618C7" w:rsidP="00F618C7">
      <w:pPr>
        <w:pStyle w:val="ListParagraph"/>
      </w:pPr>
      <w:r>
        <w:t xml:space="preserve">The changes are so wide ranging that tracked changes cannot be provided. The version attached at </w:t>
      </w:r>
      <w:r w:rsidR="006634E8">
        <w:t xml:space="preserve">Appendix One is the version Council are being asked to adopt. The current version can be found at Part 19 of the Constitution. </w:t>
      </w:r>
    </w:p>
    <w:p w14:paraId="76EBBF64" w14:textId="5076BC8F" w:rsidR="00F618C7" w:rsidRDefault="006634E8" w:rsidP="00F618C7">
      <w:pPr>
        <w:pStyle w:val="ListParagraph"/>
      </w:pPr>
      <w:r>
        <w:t>T</w:t>
      </w:r>
      <w:r w:rsidR="00F618C7">
        <w:t xml:space="preserve">he following are the main changes and points to note: </w:t>
      </w:r>
    </w:p>
    <w:p w14:paraId="2AF2DDE3" w14:textId="77777777" w:rsidR="00EC1D6D" w:rsidRDefault="00DD6F7D" w:rsidP="00EC1D6D">
      <w:pPr>
        <w:pStyle w:val="bParagraphtext"/>
        <w:numPr>
          <w:ilvl w:val="1"/>
          <w:numId w:val="14"/>
        </w:numPr>
      </w:pPr>
      <w:r>
        <w:t>R</w:t>
      </w:r>
      <w:r w:rsidR="00EC1D6D">
        <w:t>eferences</w:t>
      </w:r>
      <w:r>
        <w:t xml:space="preserve"> concerning property transactions</w:t>
      </w:r>
      <w:r w:rsidR="00EC1D6D">
        <w:t xml:space="preserve"> &amp; grants (incoming and outgoing)</w:t>
      </w:r>
      <w:r>
        <w:t xml:space="preserve"> have been removed</w:t>
      </w:r>
      <w:r w:rsidR="00EC1D6D">
        <w:t xml:space="preserve">. </w:t>
      </w:r>
      <w:proofErr w:type="gramStart"/>
      <w:r w:rsidR="00EC1D6D">
        <w:t xml:space="preserve">The </w:t>
      </w:r>
      <w:r w:rsidR="006C4CBC">
        <w:t>vast majority of</w:t>
      </w:r>
      <w:proofErr w:type="gramEnd"/>
      <w:r w:rsidR="006C4CBC">
        <w:t xml:space="preserve"> the Contract Rules do not relate to </w:t>
      </w:r>
      <w:r w:rsidR="00EC1D6D">
        <w:t>these</w:t>
      </w:r>
      <w:r w:rsidR="006C4CBC">
        <w:t xml:space="preserve"> transactions. With the Constitutional </w:t>
      </w:r>
      <w:r w:rsidR="00AD47E4">
        <w:t xml:space="preserve">review in the New Year the proposal is to introduce their own rules. The provisions deleted from the Contract Rules remain elsewhere in the Constitution e.g. who has authority for what transactions. </w:t>
      </w:r>
    </w:p>
    <w:p w14:paraId="1021370F" w14:textId="77777777" w:rsidR="00680099" w:rsidRDefault="009877CD" w:rsidP="00680099">
      <w:pPr>
        <w:pStyle w:val="bParagraphtext"/>
        <w:numPr>
          <w:ilvl w:val="1"/>
          <w:numId w:val="14"/>
        </w:numPr>
      </w:pPr>
      <w:r>
        <w:t xml:space="preserve">The table at 19.2 </w:t>
      </w:r>
      <w:r w:rsidR="00680099">
        <w:t xml:space="preserve">now </w:t>
      </w:r>
      <w:r>
        <w:t xml:space="preserve">exempts from the rules specifically </w:t>
      </w:r>
      <w:r w:rsidR="00EC1D6D">
        <w:t>several</w:t>
      </w:r>
      <w:r>
        <w:t xml:space="preserve"> </w:t>
      </w:r>
      <w:r w:rsidR="00680099">
        <w:t xml:space="preserve">services to be procured. This reflects the legal position in terms of them being exempt from the provisions in the Procurement Ac 2023. </w:t>
      </w:r>
      <w:r>
        <w:t xml:space="preserve"> </w:t>
      </w:r>
      <w:r w:rsidR="00680099">
        <w:t xml:space="preserve">For example, </w:t>
      </w:r>
      <w:r>
        <w:t xml:space="preserve">representation by a lawyer </w:t>
      </w:r>
      <w:r w:rsidR="00680099">
        <w:t>is</w:t>
      </w:r>
      <w:r>
        <w:t xml:space="preserve"> now exempted from the need to procure in line with the law to enable swift appointment in litigation matters. </w:t>
      </w:r>
      <w:r w:rsidR="00680099">
        <w:t xml:space="preserve">The rules on thresholds for approval will continue to apply, but they will not be subject to e.g. a full tender process where time is of the essence. </w:t>
      </w:r>
    </w:p>
    <w:p w14:paraId="292656C4" w14:textId="77777777" w:rsidR="00A1405B" w:rsidRDefault="009877CD" w:rsidP="00A1405B">
      <w:pPr>
        <w:pStyle w:val="bParagraphtext"/>
        <w:numPr>
          <w:ilvl w:val="1"/>
          <w:numId w:val="14"/>
        </w:numPr>
      </w:pPr>
      <w:r>
        <w:t xml:space="preserve">A list of steps needed before entering </w:t>
      </w:r>
      <w:proofErr w:type="gramStart"/>
      <w:r>
        <w:t>in to</w:t>
      </w:r>
      <w:proofErr w:type="gramEnd"/>
      <w:r>
        <w:t xml:space="preserve"> a contract are set out at 19.6</w:t>
      </w:r>
    </w:p>
    <w:p w14:paraId="37FF1CCE" w14:textId="77777777" w:rsidR="00A1405B" w:rsidRDefault="00A1405B" w:rsidP="00A1405B">
      <w:pPr>
        <w:pStyle w:val="bParagraphtext"/>
        <w:numPr>
          <w:ilvl w:val="1"/>
          <w:numId w:val="14"/>
        </w:numPr>
      </w:pPr>
      <w:r>
        <w:t xml:space="preserve">At paragraph </w:t>
      </w:r>
      <w:r w:rsidR="009877CD">
        <w:t xml:space="preserve">19.10 - Formation of contracts – </w:t>
      </w:r>
      <w:r>
        <w:t>we have</w:t>
      </w:r>
      <w:r w:rsidR="009877CD">
        <w:t xml:space="preserve"> </w:t>
      </w:r>
      <w:r>
        <w:t xml:space="preserve">simplified the requirements. </w:t>
      </w:r>
    </w:p>
    <w:p w14:paraId="4A3835E4" w14:textId="5E6D80F7" w:rsidR="00A1405B" w:rsidRDefault="00A1405B" w:rsidP="00A1405B">
      <w:pPr>
        <w:pStyle w:val="bParagraphtext"/>
        <w:numPr>
          <w:ilvl w:val="1"/>
          <w:numId w:val="14"/>
        </w:numPr>
      </w:pPr>
      <w:r>
        <w:t>At Paragraph</w:t>
      </w:r>
      <w:r w:rsidR="009877CD">
        <w:t xml:space="preserve"> </w:t>
      </w:r>
      <w:r>
        <w:t xml:space="preserve">19.12 – </w:t>
      </w:r>
      <w:proofErr w:type="spellStart"/>
      <w:r>
        <w:t>Teckal</w:t>
      </w:r>
      <w:proofErr w:type="spellEnd"/>
      <w:r>
        <w:t xml:space="preserve"> – the requirement to have approval of the Director for not using a </w:t>
      </w:r>
      <w:proofErr w:type="spellStart"/>
      <w:r>
        <w:t>teckal</w:t>
      </w:r>
      <w:proofErr w:type="spellEnd"/>
      <w:r>
        <w:t xml:space="preserve"> has been removed.  It has also been set out clearly what rules in the Contract Rules still apply to the letting of contracts to a </w:t>
      </w:r>
      <w:proofErr w:type="spellStart"/>
      <w:r>
        <w:t>Teckal</w:t>
      </w:r>
      <w:proofErr w:type="spellEnd"/>
      <w:r>
        <w:t>. This removes the issue for the HRA and grant funded projects where there are legal requirements around demonstrating compliance with public procurement, v</w:t>
      </w:r>
      <w:r w:rsidR="00A409E1">
        <w:t xml:space="preserve">alue </w:t>
      </w:r>
      <w:r>
        <w:t>f</w:t>
      </w:r>
      <w:r w:rsidR="00A409E1">
        <w:t xml:space="preserve">or </w:t>
      </w:r>
      <w:r>
        <w:t>m</w:t>
      </w:r>
      <w:r w:rsidR="00A409E1">
        <w:t>oney</w:t>
      </w:r>
      <w:r>
        <w:t xml:space="preserve"> and housing legislation. </w:t>
      </w:r>
    </w:p>
    <w:p w14:paraId="08AC69E2" w14:textId="77777777" w:rsidR="00A1405B" w:rsidRDefault="009877CD" w:rsidP="00A1405B">
      <w:pPr>
        <w:pStyle w:val="bParagraphtext"/>
        <w:numPr>
          <w:ilvl w:val="1"/>
          <w:numId w:val="14"/>
        </w:numPr>
      </w:pPr>
      <w:r>
        <w:t xml:space="preserve">A Waiver process has been introduced as there are exemptions being required where the procurement rules have been followed bar something small. For </w:t>
      </w:r>
      <w:proofErr w:type="gramStart"/>
      <w:r>
        <w:t>example</w:t>
      </w:r>
      <w:proofErr w:type="gramEnd"/>
      <w:r>
        <w:t xml:space="preserve"> if it is a framework agreement and we cannot seal it, it </w:t>
      </w:r>
      <w:r>
        <w:lastRenderedPageBreak/>
        <w:t xml:space="preserve">has necessitated an Exemption from all the rules. A waiver will just allow some rules (not the need to procure) to be waived. </w:t>
      </w:r>
    </w:p>
    <w:p w14:paraId="2C937590" w14:textId="77777777" w:rsidR="00A1405B" w:rsidRDefault="009877CD" w:rsidP="00A1405B">
      <w:pPr>
        <w:pStyle w:val="bParagraphtext"/>
        <w:numPr>
          <w:ilvl w:val="1"/>
          <w:numId w:val="14"/>
        </w:numPr>
      </w:pPr>
      <w:r>
        <w:t xml:space="preserve">Over all the thresholds have been changed so e.g. the table in 19.13. The use of one quote have increased from £10k to £29,999.99, the threshold for cabinet is now defined as key decision (to match the articles). In some </w:t>
      </w:r>
      <w:proofErr w:type="gramStart"/>
      <w:r>
        <w:t>cases</w:t>
      </w:r>
      <w:proofErr w:type="gramEnd"/>
      <w:r>
        <w:t xml:space="preserve"> the term </w:t>
      </w:r>
      <w:r w:rsidR="00A1405B">
        <w:t>“</w:t>
      </w:r>
      <w:r>
        <w:t>FTS</w:t>
      </w:r>
      <w:r w:rsidR="00A1405B">
        <w:t>”</w:t>
      </w:r>
      <w:r>
        <w:t xml:space="preserve"> has been used, which means the threshold as published from time to time relating to when the Act applies. We have avoided uses of numbers so there is not a need to update </w:t>
      </w:r>
      <w:proofErr w:type="spellStart"/>
      <w:r>
        <w:t>them</w:t>
      </w:r>
      <w:proofErr w:type="spellEnd"/>
      <w:r>
        <w:t xml:space="preserve"> year on year.  </w:t>
      </w:r>
    </w:p>
    <w:p w14:paraId="0D55F0C9" w14:textId="77777777" w:rsidR="00A1405B" w:rsidRDefault="009877CD" w:rsidP="00A1405B">
      <w:pPr>
        <w:pStyle w:val="bParagraphtext"/>
        <w:numPr>
          <w:ilvl w:val="1"/>
          <w:numId w:val="14"/>
        </w:numPr>
      </w:pPr>
      <w:r>
        <w:t xml:space="preserve">The tender processes have been removed in detail as Procurement will lead and advise. </w:t>
      </w:r>
    </w:p>
    <w:p w14:paraId="4D20CA09" w14:textId="56621F41" w:rsidR="009877CD" w:rsidRPr="006A56C7" w:rsidRDefault="009877CD" w:rsidP="00A1405B">
      <w:pPr>
        <w:pStyle w:val="bParagraphtext"/>
        <w:numPr>
          <w:ilvl w:val="1"/>
          <w:numId w:val="14"/>
        </w:numPr>
      </w:pPr>
      <w:r>
        <w:t xml:space="preserve">Areas will now be responsible for storage and retention of all contracts up to £30k, Procurement will be responsible for the remainder. </w:t>
      </w:r>
    </w:p>
    <w:p w14:paraId="1B464164" w14:textId="145049EC" w:rsidR="00E87F7A" w:rsidRPr="001356F1" w:rsidRDefault="00D86F84" w:rsidP="00E87F7A">
      <w:pPr>
        <w:spacing w:before="240"/>
        <w:outlineLvl w:val="0"/>
        <w:rPr>
          <w:b/>
        </w:rPr>
      </w:pPr>
      <w:r w:rsidRPr="007662A3">
        <w:rPr>
          <w:b/>
          <w:bCs/>
        </w:rPr>
        <w:t>Section 4.4 – publication of officer decisions</w:t>
      </w:r>
      <w:r w:rsidRPr="001356F1">
        <w:rPr>
          <w:b/>
        </w:rPr>
        <w:t xml:space="preserve"> </w:t>
      </w:r>
      <w:r w:rsidR="00E87F7A" w:rsidRPr="001356F1">
        <w:rPr>
          <w:b/>
        </w:rPr>
        <w:t xml:space="preserve"> </w:t>
      </w:r>
    </w:p>
    <w:p w14:paraId="4C5C1220" w14:textId="77777777" w:rsidR="00A97533" w:rsidRDefault="00A97533" w:rsidP="00A97533">
      <w:pPr>
        <w:pStyle w:val="ListParagraph"/>
      </w:pPr>
      <w:r>
        <w:t xml:space="preserve">This is proposed to streamline what is published and ensure we are in line with the legislative requirements. These are as follows: </w:t>
      </w:r>
    </w:p>
    <w:p w14:paraId="24D09576" w14:textId="77777777" w:rsidR="00AF677D" w:rsidRPr="00831800" w:rsidRDefault="00AF677D" w:rsidP="00AF677D">
      <w:pPr>
        <w:shd w:val="clear" w:color="auto" w:fill="F7F7F7"/>
        <w:spacing w:before="300" w:after="300" w:line="360" w:lineRule="atLeast"/>
        <w:ind w:left="360"/>
        <w:rPr>
          <w:rFonts w:ascii="Open Sans" w:hAnsi="Open Sans" w:cs="Open Sans"/>
          <w:color w:val="666666"/>
        </w:rPr>
      </w:pPr>
      <w:r w:rsidRPr="00831800">
        <w:rPr>
          <w:rFonts w:ascii="Open Sans" w:hAnsi="Open Sans" w:cs="Open Sans"/>
          <w:color w:val="666666"/>
        </w:rPr>
        <w:t>Under the 2014 Regulations, a similar “written record” must be produced of any non-executive decision taken by an officer under delegated powers, provided that the decision is taken:</w:t>
      </w:r>
    </w:p>
    <w:p w14:paraId="7102959F" w14:textId="77777777" w:rsidR="00AF677D" w:rsidRPr="00831800" w:rsidRDefault="00AF677D" w:rsidP="00AF677D">
      <w:pPr>
        <w:numPr>
          <w:ilvl w:val="0"/>
          <w:numId w:val="36"/>
        </w:numPr>
        <w:shd w:val="clear" w:color="auto" w:fill="F7F7F7"/>
        <w:spacing w:before="100" w:beforeAutospacing="1" w:after="100" w:afterAutospacing="1" w:line="360" w:lineRule="atLeast"/>
        <w:rPr>
          <w:rFonts w:ascii="Open Sans" w:hAnsi="Open Sans" w:cs="Open Sans"/>
          <w:color w:val="666666"/>
        </w:rPr>
      </w:pPr>
      <w:r w:rsidRPr="00831800">
        <w:rPr>
          <w:rFonts w:ascii="Open Sans" w:hAnsi="Open Sans" w:cs="Open Sans"/>
          <w:color w:val="666666"/>
        </w:rPr>
        <w:t>Under a specific delegation contained in a council or committee resolution; or</w:t>
      </w:r>
    </w:p>
    <w:p w14:paraId="497D7017" w14:textId="0B32F917" w:rsidR="00AF677D" w:rsidRDefault="00AF677D" w:rsidP="00AF677D">
      <w:pPr>
        <w:pStyle w:val="ListParagraph"/>
        <w:numPr>
          <w:ilvl w:val="0"/>
          <w:numId w:val="0"/>
        </w:numPr>
        <w:ind w:left="426"/>
      </w:pPr>
      <w:r w:rsidRPr="00831800">
        <w:rPr>
          <w:rFonts w:ascii="Open Sans" w:hAnsi="Open Sans" w:cs="Open Sans"/>
          <w:color w:val="666666"/>
        </w:rPr>
        <w:t>Under a general delegation (usually the Scheme of Delegation in the Constitution) where the effect of the decision is to grant a permission or licence, affects the rights of an individual or award a contract or incur expenditure which materially affects the authority's financial position.</w:t>
      </w:r>
    </w:p>
    <w:p w14:paraId="1B464165" w14:textId="18736F91" w:rsidR="00E87F7A" w:rsidRDefault="005B6C41" w:rsidP="005570B5">
      <w:pPr>
        <w:pStyle w:val="ListParagraph"/>
      </w:pPr>
      <w:r>
        <w:t xml:space="preserve">It is open to interpretation as to what will be material in terms of </w:t>
      </w:r>
      <w:proofErr w:type="gramStart"/>
      <w:r>
        <w:t>the a</w:t>
      </w:r>
      <w:proofErr w:type="gramEnd"/>
      <w:r>
        <w:t xml:space="preserve"> contract and its impact on finances</w:t>
      </w:r>
      <w:r w:rsidR="00CD4BDD">
        <w:t>. Many Councils have taken the view this is those that are already reserved to Cabinet (assuming materiality therefore is reserved for political decision making). As such the proposal is to amend to where it is delegated via a specific decision to award a contract, which will be all contracts over the key decision threshold.</w:t>
      </w:r>
    </w:p>
    <w:p w14:paraId="52BED957" w14:textId="18C4C664" w:rsidR="000917A8" w:rsidRDefault="000917A8" w:rsidP="005570B5">
      <w:pPr>
        <w:pStyle w:val="ListParagraph"/>
      </w:pPr>
      <w:r>
        <w:t xml:space="preserve">The following tracked amendments are proposed: </w:t>
      </w:r>
    </w:p>
    <w:tbl>
      <w:tblPr>
        <w:tblStyle w:val="TableGrid"/>
        <w:tblW w:w="0" w:type="auto"/>
        <w:tblInd w:w="426" w:type="dxa"/>
        <w:tblLook w:val="04A0" w:firstRow="1" w:lastRow="0" w:firstColumn="1" w:lastColumn="0" w:noHBand="0" w:noVBand="1"/>
      </w:tblPr>
      <w:tblGrid>
        <w:gridCol w:w="8862"/>
      </w:tblGrid>
      <w:tr w:rsidR="000917A8" w14:paraId="7AAC1FE7" w14:textId="77777777" w:rsidTr="000917A8">
        <w:tc>
          <w:tcPr>
            <w:tcW w:w="9514" w:type="dxa"/>
          </w:tcPr>
          <w:p w14:paraId="61E4E645" w14:textId="77777777" w:rsidR="000917A8" w:rsidRDefault="000917A8" w:rsidP="000917A8">
            <w:r>
              <w:t>Details of the following decisions taken by officers under delegated powers will be published on the Council website:</w:t>
            </w:r>
          </w:p>
          <w:p w14:paraId="5D05651E" w14:textId="292E14ED" w:rsidR="000917A8" w:rsidRDefault="000917A8" w:rsidP="000917A8">
            <w:r>
              <w:sym w:font="Symbol" w:char="F0B7"/>
            </w:r>
            <w:r>
              <w:t xml:space="preserve"> Awarding a contract </w:t>
            </w:r>
            <w:r w:rsidRPr="00854E87">
              <w:rPr>
                <w:strike/>
                <w:color w:val="FF0000"/>
              </w:rPr>
              <w:t xml:space="preserve">with a value </w:t>
            </w:r>
            <w:proofErr w:type="gramStart"/>
            <w:r w:rsidRPr="00854E87">
              <w:rPr>
                <w:strike/>
                <w:color w:val="FF0000"/>
              </w:rPr>
              <w:t>in excess of</w:t>
            </w:r>
            <w:proofErr w:type="gramEnd"/>
            <w:r w:rsidRPr="00854E87">
              <w:rPr>
                <w:strike/>
                <w:color w:val="FF0000"/>
              </w:rPr>
              <w:t xml:space="preserve"> £10,000 but less than £1,000,000 when the Council is the buyer</w:t>
            </w:r>
            <w:r w:rsidR="00854E87" w:rsidRPr="00854E87">
              <w:rPr>
                <w:color w:val="FF0000"/>
              </w:rPr>
              <w:t xml:space="preserve"> </w:t>
            </w:r>
            <w:r w:rsidRPr="00854E87">
              <w:rPr>
                <w:color w:val="FF0000"/>
              </w:rPr>
              <w:t xml:space="preserve">where authority has been specifically delegated to officers by Cabinet or a Cabinet Member (regardless of value) </w:t>
            </w:r>
          </w:p>
          <w:p w14:paraId="33051AAC" w14:textId="77777777" w:rsidR="000917A8" w:rsidRDefault="000917A8" w:rsidP="000917A8">
            <w:pPr>
              <w:ind w:left="426" w:hanging="426"/>
            </w:pPr>
          </w:p>
          <w:p w14:paraId="65DD0C1A" w14:textId="77777777" w:rsidR="000917A8" w:rsidRDefault="000917A8" w:rsidP="000917A8">
            <w:r>
              <w:sym w:font="Symbol" w:char="F0B7"/>
            </w:r>
            <w:r>
              <w:t xml:space="preserve"> Acquiring or disposing of freeholds or leaseholds, </w:t>
            </w:r>
            <w:r w:rsidRPr="00854E87">
              <w:rPr>
                <w:color w:val="FF0000"/>
              </w:rPr>
              <w:t xml:space="preserve">granting new leaseholds (excluding assignments and rent reviews) where authority has been specifically delegated to officers by Cabinet or a Cabinet Member (regardless of value) where </w:t>
            </w:r>
            <w:r w:rsidRPr="00854E87">
              <w:rPr>
                <w:color w:val="FF0000"/>
              </w:rPr>
              <w:lastRenderedPageBreak/>
              <w:t xml:space="preserve">authority has been specifically delegated to officers by Cabinet or a Cabinet Member (regardless of value) </w:t>
            </w:r>
            <w:r w:rsidRPr="00854E87">
              <w:rPr>
                <w:strike/>
                <w:color w:val="FF0000"/>
              </w:rPr>
              <w:t xml:space="preserve">with a consideration or premium in excess of £10,000 but less than </w:t>
            </w:r>
            <w:proofErr w:type="gramStart"/>
            <w:r w:rsidRPr="00854E87">
              <w:rPr>
                <w:strike/>
                <w:color w:val="FF0000"/>
              </w:rPr>
              <w:t>£500,000</w:t>
            </w:r>
            <w:proofErr w:type="gramEnd"/>
            <w:r w:rsidRPr="00854E87">
              <w:rPr>
                <w:color w:val="FF0000"/>
              </w:rPr>
              <w:t xml:space="preserve"> </w:t>
            </w:r>
          </w:p>
          <w:p w14:paraId="6C26368E" w14:textId="77777777" w:rsidR="000917A8" w:rsidRDefault="000917A8" w:rsidP="000917A8">
            <w:pPr>
              <w:pStyle w:val="ListParagraph"/>
              <w:numPr>
                <w:ilvl w:val="0"/>
                <w:numId w:val="0"/>
              </w:numPr>
              <w:ind w:left="426"/>
            </w:pPr>
          </w:p>
          <w:p w14:paraId="1107E21F" w14:textId="77777777" w:rsidR="000917A8" w:rsidRDefault="000917A8" w:rsidP="000917A8">
            <w:r>
              <w:sym w:font="Symbol" w:char="F0B7"/>
            </w:r>
            <w:r>
              <w:t xml:space="preserve"> </w:t>
            </w:r>
            <w:r w:rsidRPr="00854E87">
              <w:rPr>
                <w:strike/>
                <w:color w:val="FF0000"/>
              </w:rPr>
              <w:t xml:space="preserve">Granting to new tenants or disposing of leases with a rental value </w:t>
            </w:r>
            <w:proofErr w:type="gramStart"/>
            <w:r w:rsidRPr="00854E87">
              <w:rPr>
                <w:strike/>
                <w:color w:val="FF0000"/>
              </w:rPr>
              <w:t>in excess of</w:t>
            </w:r>
            <w:proofErr w:type="gramEnd"/>
            <w:r w:rsidRPr="00854E87">
              <w:rPr>
                <w:strike/>
                <w:color w:val="FF0000"/>
              </w:rPr>
              <w:t xml:space="preserve"> £10,000 per annum but less than £125,000. This excludes assignments, holding over and rent </w:t>
            </w:r>
            <w:proofErr w:type="gramStart"/>
            <w:r w:rsidRPr="00854E87">
              <w:rPr>
                <w:strike/>
                <w:color w:val="FF0000"/>
              </w:rPr>
              <w:t>reviews</w:t>
            </w:r>
            <w:proofErr w:type="gramEnd"/>
            <w:r w:rsidRPr="00854E87">
              <w:rPr>
                <w:color w:val="FF0000"/>
              </w:rPr>
              <w:t xml:space="preserve"> </w:t>
            </w:r>
          </w:p>
          <w:p w14:paraId="767A6E8A" w14:textId="77777777" w:rsidR="000917A8" w:rsidRDefault="000917A8" w:rsidP="000917A8">
            <w:pPr>
              <w:pStyle w:val="ListParagraph"/>
              <w:numPr>
                <w:ilvl w:val="0"/>
                <w:numId w:val="0"/>
              </w:numPr>
              <w:ind w:left="426"/>
            </w:pPr>
          </w:p>
          <w:p w14:paraId="51EF9593" w14:textId="76698716" w:rsidR="000917A8" w:rsidRDefault="000917A8" w:rsidP="000917A8">
            <w:pPr>
              <w:ind w:left="426" w:hanging="426"/>
            </w:pPr>
            <w:r w:rsidRPr="00854E87">
              <w:rPr>
                <w:strike/>
                <w:color w:val="FF0000"/>
              </w:rPr>
              <w:t xml:space="preserve">Granting ‘project approval’ for projects </w:t>
            </w:r>
            <w:proofErr w:type="gramStart"/>
            <w:r w:rsidRPr="00854E87">
              <w:rPr>
                <w:strike/>
                <w:color w:val="FF0000"/>
              </w:rPr>
              <w:t>in excess of</w:t>
            </w:r>
            <w:proofErr w:type="gramEnd"/>
            <w:r w:rsidRPr="00854E87">
              <w:rPr>
                <w:strike/>
                <w:color w:val="FF0000"/>
              </w:rPr>
              <w:t xml:space="preserve"> £10,000 but less than £500,000</w:t>
            </w:r>
            <w:r w:rsidRPr="00854E87">
              <w:rPr>
                <w:color w:val="FF0000"/>
              </w:rPr>
              <w:t xml:space="preserve"> </w:t>
            </w:r>
          </w:p>
          <w:p w14:paraId="055055AF" w14:textId="77777777" w:rsidR="000917A8" w:rsidRDefault="000917A8" w:rsidP="000917A8">
            <w:r>
              <w:sym w:font="Symbol" w:char="F0B7"/>
            </w:r>
            <w:r>
              <w:t xml:space="preserve"> Making a regulatory order which affects </w:t>
            </w:r>
            <w:proofErr w:type="gramStart"/>
            <w:r>
              <w:t>a number of</w:t>
            </w:r>
            <w:proofErr w:type="gramEnd"/>
            <w:r>
              <w:t xml:space="preserve"> people, for example a Public Space Protection Order or a Parking Place Order </w:t>
            </w:r>
          </w:p>
          <w:p w14:paraId="75F3BD43" w14:textId="77777777" w:rsidR="000917A8" w:rsidRDefault="000917A8" w:rsidP="000917A8">
            <w:pPr>
              <w:pStyle w:val="ListParagraph"/>
              <w:numPr>
                <w:ilvl w:val="0"/>
                <w:numId w:val="0"/>
              </w:numPr>
              <w:ind w:left="426"/>
            </w:pPr>
          </w:p>
          <w:p w14:paraId="22B0B75E" w14:textId="77777777" w:rsidR="000917A8" w:rsidRDefault="000917A8" w:rsidP="000917A8">
            <w:r>
              <w:sym w:font="Symbol" w:char="F0B7"/>
            </w:r>
            <w:r>
              <w:t xml:space="preserve"> </w:t>
            </w:r>
            <w:r w:rsidRPr="00854E87">
              <w:rPr>
                <w:color w:val="FF0000"/>
              </w:rPr>
              <w:t xml:space="preserve">where the effect of a decision is to grant a licence or </w:t>
            </w:r>
            <w:proofErr w:type="gramStart"/>
            <w:r w:rsidRPr="00854E87">
              <w:rPr>
                <w:color w:val="FF0000"/>
              </w:rPr>
              <w:t>permission</w:t>
            </w:r>
            <w:proofErr w:type="gramEnd"/>
            <w:r w:rsidRPr="00854E87">
              <w:rPr>
                <w:color w:val="FF0000"/>
              </w:rPr>
              <w:t xml:space="preserve"> or it affects the rights of citizens </w:t>
            </w:r>
          </w:p>
          <w:p w14:paraId="707746B8" w14:textId="77777777" w:rsidR="000917A8" w:rsidRDefault="000917A8" w:rsidP="000917A8">
            <w:pPr>
              <w:pStyle w:val="ListParagraph"/>
              <w:numPr>
                <w:ilvl w:val="0"/>
                <w:numId w:val="0"/>
              </w:numPr>
              <w:ind w:left="426"/>
            </w:pPr>
          </w:p>
          <w:p w14:paraId="2AE0FC2D" w14:textId="0201D40A" w:rsidR="000917A8" w:rsidRDefault="000917A8" w:rsidP="000917A8">
            <w:r>
              <w:sym w:font="Symbol" w:char="F0B7"/>
            </w:r>
            <w:r>
              <w:t xml:space="preserve"> Discharging an</w:t>
            </w:r>
            <w:r w:rsidRPr="00854E87">
              <w:rPr>
                <w:color w:val="FF0000"/>
              </w:rPr>
              <w:t xml:space="preserve">y other </w:t>
            </w:r>
            <w:r>
              <w:t>express delegation from Cabinet</w:t>
            </w:r>
            <w:r>
              <w:t xml:space="preserve"> </w:t>
            </w:r>
            <w:r w:rsidRPr="00854E87">
              <w:rPr>
                <w:color w:val="FF0000"/>
              </w:rPr>
              <w:t>or a Cabinet Member a committee or Council</w:t>
            </w:r>
            <w:r w:rsidR="00854E87" w:rsidRPr="00854E87">
              <w:rPr>
                <w:color w:val="FF0000"/>
              </w:rPr>
              <w:t xml:space="preserve"> </w:t>
            </w:r>
            <w:r w:rsidRPr="00854E87">
              <w:rPr>
                <w:strike/>
                <w:color w:val="FF0000"/>
              </w:rPr>
              <w:t>where there is an element of discretion to be exercised by the officer</w:t>
            </w:r>
            <w:r>
              <w:t>.</w:t>
            </w:r>
          </w:p>
          <w:p w14:paraId="5FD49D87" w14:textId="77777777" w:rsidR="000917A8" w:rsidRDefault="000917A8" w:rsidP="000917A8">
            <w:pPr>
              <w:pStyle w:val="ListParagraph"/>
              <w:numPr>
                <w:ilvl w:val="0"/>
                <w:numId w:val="0"/>
              </w:numPr>
            </w:pPr>
          </w:p>
        </w:tc>
      </w:tr>
    </w:tbl>
    <w:p w14:paraId="06657108" w14:textId="77777777" w:rsidR="000917A8" w:rsidRDefault="000917A8" w:rsidP="000917A8">
      <w:pPr>
        <w:pStyle w:val="ListParagraph"/>
        <w:numPr>
          <w:ilvl w:val="0"/>
          <w:numId w:val="0"/>
        </w:numPr>
        <w:ind w:left="426"/>
      </w:pPr>
    </w:p>
    <w:p w14:paraId="35EDABB5" w14:textId="3936ACFB" w:rsidR="00921A34" w:rsidRDefault="00921A34" w:rsidP="00921A34">
      <w:pPr>
        <w:ind w:left="426" w:hanging="426"/>
        <w:rPr>
          <w:b/>
          <w:bCs/>
        </w:rPr>
      </w:pPr>
      <w:r>
        <w:rPr>
          <w:b/>
          <w:bCs/>
        </w:rPr>
        <w:t xml:space="preserve">Part 15.4 - Key Decisions </w:t>
      </w:r>
    </w:p>
    <w:p w14:paraId="5F745F31" w14:textId="77777777" w:rsidR="00921A34" w:rsidRDefault="00921A34" w:rsidP="00921A34">
      <w:pPr>
        <w:pStyle w:val="ListParagraph"/>
      </w:pPr>
      <w:r>
        <w:rPr>
          <w:rFonts w:ascii="Open Sans" w:hAnsi="Open Sans" w:cs="Open Sans"/>
          <w:color w:val="666666"/>
          <w:shd w:val="clear" w:color="auto" w:fill="F7F7F7"/>
        </w:rPr>
        <w:t>Key decisions are executive decisions are those which are likely to result in spending or savings which are “significant” in relation to the budget for the service or function in question, or in terms of the effect on communities living or working in two or more wards or electoral divisions. </w:t>
      </w:r>
    </w:p>
    <w:p w14:paraId="4016A1C9" w14:textId="739364F2" w:rsidR="00415636" w:rsidRDefault="00415636" w:rsidP="00415636">
      <w:pPr>
        <w:pStyle w:val="ListParagraph"/>
      </w:pPr>
      <w:r>
        <w:t xml:space="preserve">Each LA defines what significant is. </w:t>
      </w:r>
    </w:p>
    <w:p w14:paraId="49969465" w14:textId="083220CB" w:rsidR="00415636" w:rsidRDefault="00415636" w:rsidP="00415636">
      <w:pPr>
        <w:pStyle w:val="ListParagraph"/>
      </w:pPr>
      <w:r>
        <w:t xml:space="preserve">Our constitution currently causes confusion and risk </w:t>
      </w:r>
      <w:proofErr w:type="spellStart"/>
      <w:r>
        <w:t>as sets</w:t>
      </w:r>
      <w:proofErr w:type="spellEnd"/>
      <w:r>
        <w:t xml:space="preserve"> it at: </w:t>
      </w:r>
    </w:p>
    <w:p w14:paraId="0EA12FF1" w14:textId="031F3B42" w:rsidR="00415636" w:rsidRDefault="00415636" w:rsidP="00415636">
      <w:pPr>
        <w:pStyle w:val="ListParagraph"/>
        <w:numPr>
          <w:ilvl w:val="1"/>
          <w:numId w:val="14"/>
        </w:numPr>
      </w:pPr>
      <w:r>
        <w:t xml:space="preserve"> £500k spend / income / </w:t>
      </w:r>
      <w:proofErr w:type="gramStart"/>
      <w:r>
        <w:t>saving</w:t>
      </w:r>
      <w:proofErr w:type="gramEnd"/>
    </w:p>
    <w:p w14:paraId="3D4AA32B" w14:textId="77777777" w:rsidR="00415636" w:rsidRDefault="00415636" w:rsidP="00415636">
      <w:pPr>
        <w:pStyle w:val="ListParagraph"/>
        <w:numPr>
          <w:ilvl w:val="1"/>
          <w:numId w:val="14"/>
        </w:numPr>
      </w:pPr>
      <w:r>
        <w:t>£1m contract</w:t>
      </w:r>
    </w:p>
    <w:p w14:paraId="6E132D9D" w14:textId="2CA50D51" w:rsidR="00D129FE" w:rsidRDefault="00344C06" w:rsidP="00415636">
      <w:pPr>
        <w:pStyle w:val="ListParagraph"/>
        <w:numPr>
          <w:ilvl w:val="1"/>
          <w:numId w:val="14"/>
        </w:numPr>
      </w:pPr>
      <w:r>
        <w:t xml:space="preserve">Property acquisition or disposal over £500,000 (including leaseholds) </w:t>
      </w:r>
    </w:p>
    <w:p w14:paraId="5CB267FA" w14:textId="3433BFB5" w:rsidR="00344C06" w:rsidRDefault="00FD4997" w:rsidP="00415636">
      <w:pPr>
        <w:pStyle w:val="ListParagraph"/>
        <w:numPr>
          <w:ilvl w:val="1"/>
          <w:numId w:val="14"/>
        </w:numPr>
      </w:pPr>
      <w:r>
        <w:t>Acquisition</w:t>
      </w:r>
      <w:r w:rsidR="00344C06">
        <w:t xml:space="preserve"> or disposal of a leasehold </w:t>
      </w:r>
      <w:r>
        <w:t xml:space="preserve">with a rental value over £125,000 per annum </w:t>
      </w:r>
    </w:p>
    <w:p w14:paraId="185FEF1C" w14:textId="77777777" w:rsidR="00FD4997" w:rsidRDefault="00FD4997" w:rsidP="00415636">
      <w:pPr>
        <w:ind w:left="426"/>
      </w:pPr>
    </w:p>
    <w:p w14:paraId="4EC13F8D" w14:textId="404E56AD" w:rsidR="00415636" w:rsidRDefault="00415636" w:rsidP="00415636">
      <w:pPr>
        <w:ind w:left="426"/>
      </w:pPr>
      <w:r>
        <w:t xml:space="preserve">A contract is the Council’s main form of spend, followed by grants. Under a contract there will be spend, therefore it is not clear which threshold applies given this ambiguity. </w:t>
      </w:r>
    </w:p>
    <w:p w14:paraId="66AFE22E" w14:textId="7ED96AB6" w:rsidR="00415636" w:rsidRDefault="00415636" w:rsidP="00415636">
      <w:pPr>
        <w:pStyle w:val="ListParagraph"/>
      </w:pPr>
      <w:r>
        <w:t xml:space="preserve">It is proposed to create one threshold of £750k income or expenditure, removing reference to contracts from the definition of Key Decision. They will be continued to be caught as a Key Decision as the signing of a contract is a decision to commit to spend.  </w:t>
      </w:r>
    </w:p>
    <w:p w14:paraId="2CC2F1F0" w14:textId="77777777" w:rsidR="00560E83" w:rsidRDefault="00FD4997" w:rsidP="00415636">
      <w:pPr>
        <w:pStyle w:val="ListParagraph"/>
      </w:pPr>
      <w:r>
        <w:lastRenderedPageBreak/>
        <w:t>It is also proposed to amend the property thresholds</w:t>
      </w:r>
      <w:r w:rsidR="00560E83">
        <w:t xml:space="preserve"> to ensure that: </w:t>
      </w:r>
    </w:p>
    <w:p w14:paraId="09700AC0" w14:textId="77777777" w:rsidR="00560E83" w:rsidRDefault="00560E83" w:rsidP="00560E83">
      <w:pPr>
        <w:pStyle w:val="ListParagraph"/>
        <w:numPr>
          <w:ilvl w:val="1"/>
          <w:numId w:val="14"/>
        </w:numPr>
      </w:pPr>
      <w:r>
        <w:t>T</w:t>
      </w:r>
      <w:r w:rsidR="00FD4997">
        <w:t xml:space="preserve">he spend on acquisition / income from disposal in line with all other income and </w:t>
      </w:r>
      <w:proofErr w:type="gramStart"/>
      <w:r w:rsidR="00FD4997">
        <w:t>expenditure</w:t>
      </w:r>
      <w:proofErr w:type="gramEnd"/>
    </w:p>
    <w:p w14:paraId="6D1DF9E7" w14:textId="77777777" w:rsidR="00560E83" w:rsidRDefault="00560E83" w:rsidP="00560E83">
      <w:pPr>
        <w:pStyle w:val="ListParagraph"/>
        <w:numPr>
          <w:ilvl w:val="1"/>
          <w:numId w:val="14"/>
        </w:numPr>
      </w:pPr>
      <w:r>
        <w:t>T</w:t>
      </w:r>
      <w:r w:rsidR="00FD4997">
        <w:t xml:space="preserve">hat leasehold is dealt with in a clearer way so that there is a threshold based on either premium or rental </w:t>
      </w:r>
      <w:proofErr w:type="gramStart"/>
      <w:r w:rsidR="00FD4997">
        <w:t>value</w:t>
      </w:r>
      <w:proofErr w:type="gramEnd"/>
    </w:p>
    <w:p w14:paraId="4DABB514" w14:textId="2065BB2C" w:rsidR="00560E83" w:rsidRDefault="00560E83" w:rsidP="00560E83">
      <w:pPr>
        <w:pStyle w:val="ListParagraph"/>
        <w:numPr>
          <w:ilvl w:val="1"/>
          <w:numId w:val="14"/>
        </w:numPr>
      </w:pPr>
      <w:r>
        <w:t xml:space="preserve">market changes in rent are reflected in the threshold for rental income, which has not been amended for some years despite increases in the rental market.  </w:t>
      </w:r>
    </w:p>
    <w:p w14:paraId="3CC70A8D" w14:textId="387A7A1E" w:rsidR="00FD4997" w:rsidRDefault="00560E83" w:rsidP="00415636">
      <w:pPr>
        <w:pStyle w:val="ListParagraph"/>
      </w:pPr>
      <w:r>
        <w:t>The proposed changes are</w:t>
      </w:r>
      <w:r w:rsidR="00FD4997">
        <w:t xml:space="preserve">: </w:t>
      </w:r>
    </w:p>
    <w:p w14:paraId="48BB0CEC" w14:textId="286B3364" w:rsidR="00FD4997" w:rsidRDefault="000520C7" w:rsidP="000520C7">
      <w:pPr>
        <w:pStyle w:val="ListParagraph"/>
        <w:numPr>
          <w:ilvl w:val="1"/>
          <w:numId w:val="14"/>
        </w:numPr>
      </w:pPr>
      <w:r>
        <w:t xml:space="preserve">Acquiring or disposing of freeholds </w:t>
      </w:r>
      <w:r w:rsidRPr="000520C7">
        <w:rPr>
          <w:strike/>
          <w:color w:val="FF0000"/>
        </w:rPr>
        <w:t>or leaseholds</w:t>
      </w:r>
      <w:r w:rsidRPr="000520C7">
        <w:rPr>
          <w:color w:val="FF0000"/>
        </w:rPr>
        <w:t xml:space="preserve"> </w:t>
      </w:r>
      <w:r>
        <w:t xml:space="preserve">with a consideration </w:t>
      </w:r>
      <w:r w:rsidRPr="000520C7">
        <w:rPr>
          <w:strike/>
          <w:color w:val="FF0000"/>
        </w:rPr>
        <w:t xml:space="preserve">or premium </w:t>
      </w:r>
      <w:r>
        <w:t xml:space="preserve">over £500,000 in the context of the </w:t>
      </w:r>
      <w:proofErr w:type="gramStart"/>
      <w:r>
        <w:t>medium term</w:t>
      </w:r>
      <w:proofErr w:type="gramEnd"/>
      <w:r>
        <w:t xml:space="preserve"> financial strategy except for disposals pursuant to right to buy legislation</w:t>
      </w:r>
    </w:p>
    <w:p w14:paraId="61F18FD6" w14:textId="3F8C26A1" w:rsidR="000520C7" w:rsidRDefault="00042DAD" w:rsidP="000520C7">
      <w:pPr>
        <w:pStyle w:val="ListParagraph"/>
        <w:numPr>
          <w:ilvl w:val="1"/>
          <w:numId w:val="14"/>
        </w:numPr>
      </w:pPr>
      <w:r>
        <w:t>Acquiring</w:t>
      </w:r>
      <w:r w:rsidR="000520C7">
        <w:t xml:space="preserve"> or disposing </w:t>
      </w:r>
      <w:r w:rsidR="000520C7" w:rsidRPr="00F760A2">
        <w:rPr>
          <w:strike/>
          <w:color w:val="FF0000"/>
        </w:rPr>
        <w:t>leaseholds</w:t>
      </w:r>
      <w:r w:rsidR="00F760A2" w:rsidRPr="00F760A2">
        <w:rPr>
          <w:strike/>
          <w:color w:val="FF0000"/>
        </w:rPr>
        <w:t xml:space="preserve"> leases with a rental value over £125,000 each year except statutory lease renewals under Part II of the Landlord &amp; Tenant Act 1954</w:t>
      </w:r>
      <w:r w:rsidR="000520C7">
        <w:t xml:space="preserve"> </w:t>
      </w:r>
      <w:r w:rsidR="000520C7" w:rsidRPr="00BE638C">
        <w:rPr>
          <w:color w:val="FF0000"/>
        </w:rPr>
        <w:t xml:space="preserve">where </w:t>
      </w:r>
      <w:r w:rsidRPr="00BE638C">
        <w:rPr>
          <w:color w:val="FF0000"/>
        </w:rPr>
        <w:t xml:space="preserve">either </w:t>
      </w:r>
      <w:r w:rsidRPr="00023E99">
        <w:rPr>
          <w:color w:val="FF0000"/>
        </w:rPr>
        <w:t xml:space="preserve">the rental value is </w:t>
      </w:r>
      <w:proofErr w:type="gramStart"/>
      <w:r w:rsidRPr="00023E99">
        <w:rPr>
          <w:color w:val="FF0000"/>
        </w:rPr>
        <w:t>in excess of</w:t>
      </w:r>
      <w:proofErr w:type="gramEnd"/>
      <w:r w:rsidRPr="00023E99">
        <w:rPr>
          <w:color w:val="FF0000"/>
        </w:rPr>
        <w:t xml:space="preserve"> £150,000 per annum and/or the premium is £750,000</w:t>
      </w:r>
      <w:r w:rsidR="00F760A2" w:rsidRPr="00023E99">
        <w:rPr>
          <w:color w:val="FF0000"/>
        </w:rPr>
        <w:t xml:space="preserve"> </w:t>
      </w:r>
      <w:r w:rsidR="00F760A2">
        <w:t>except for statutory lease renewals under Part 2 of the Landlord and Tenant Act 1954</w:t>
      </w:r>
      <w:r w:rsidR="00023E99">
        <w:t xml:space="preserve"> </w:t>
      </w:r>
      <w:r w:rsidR="00023E99" w:rsidRPr="00023E99">
        <w:rPr>
          <w:color w:val="FF0000"/>
        </w:rPr>
        <w:t>and disposals pursuant to right to buy legislation</w:t>
      </w:r>
      <w:r w:rsidR="00F760A2">
        <w:t>.</w:t>
      </w:r>
    </w:p>
    <w:p w14:paraId="5B1C0487" w14:textId="71B64D12" w:rsidR="00023E99" w:rsidRDefault="005415FC" w:rsidP="000520C7">
      <w:pPr>
        <w:pStyle w:val="ListParagraph"/>
        <w:numPr>
          <w:ilvl w:val="1"/>
          <w:numId w:val="14"/>
        </w:numPr>
      </w:pPr>
      <w:r>
        <w:t xml:space="preserve">ADDING as follows </w:t>
      </w:r>
      <w:r w:rsidRPr="005415FC">
        <w:rPr>
          <w:color w:val="FF0000"/>
        </w:rPr>
        <w:t>acquiring or disposing of easements with a value over £750,000 and/or rental value over £250,000 each year</w:t>
      </w:r>
      <w:r>
        <w:rPr>
          <w:color w:val="FF0000"/>
        </w:rPr>
        <w:t>.</w:t>
      </w:r>
    </w:p>
    <w:p w14:paraId="23EF90BB" w14:textId="4B6FEB94" w:rsidR="00415636" w:rsidRPr="00415636" w:rsidRDefault="00415636" w:rsidP="00415636">
      <w:pPr>
        <w:rPr>
          <w:b/>
          <w:bCs/>
        </w:rPr>
      </w:pPr>
      <w:r>
        <w:rPr>
          <w:b/>
          <w:bCs/>
        </w:rPr>
        <w:t xml:space="preserve">Part 4.5 – Decisions that must be agreed by </w:t>
      </w:r>
      <w:proofErr w:type="gramStart"/>
      <w:r>
        <w:rPr>
          <w:b/>
          <w:bCs/>
        </w:rPr>
        <w:t>Cabinet</w:t>
      </w:r>
      <w:proofErr w:type="gramEnd"/>
      <w:r>
        <w:rPr>
          <w:b/>
          <w:bCs/>
        </w:rPr>
        <w:t xml:space="preserve"> </w:t>
      </w:r>
    </w:p>
    <w:p w14:paraId="084208D7" w14:textId="7A45D0F8" w:rsidR="00921A34" w:rsidRDefault="00EC6FD6" w:rsidP="00921A34">
      <w:pPr>
        <w:pStyle w:val="ListParagraph"/>
      </w:pPr>
      <w:r>
        <w:t xml:space="preserve">The following changes are proposed to the decisions reserved to Cabinet, with the explanation adjacent to each: </w:t>
      </w:r>
    </w:p>
    <w:tbl>
      <w:tblPr>
        <w:tblStyle w:val="TableGrid"/>
        <w:tblW w:w="0" w:type="auto"/>
        <w:tblInd w:w="720" w:type="dxa"/>
        <w:tblLook w:val="04A0" w:firstRow="1" w:lastRow="0" w:firstColumn="1" w:lastColumn="0" w:noHBand="0" w:noVBand="1"/>
      </w:tblPr>
      <w:tblGrid>
        <w:gridCol w:w="4672"/>
        <w:gridCol w:w="3896"/>
      </w:tblGrid>
      <w:tr w:rsidR="007C70C3" w:rsidRPr="007C70C3" w14:paraId="3CB075E6" w14:textId="77777777" w:rsidTr="0057220C">
        <w:tc>
          <w:tcPr>
            <w:tcW w:w="4795" w:type="dxa"/>
            <w:shd w:val="clear" w:color="auto" w:fill="D9D9D9" w:themeFill="background1" w:themeFillShade="D9"/>
          </w:tcPr>
          <w:p w14:paraId="157AEE79" w14:textId="77777777" w:rsidR="007C70C3" w:rsidRPr="007C70C3" w:rsidRDefault="007C70C3" w:rsidP="007C70C3">
            <w:pPr>
              <w:rPr>
                <w:b/>
                <w:bCs/>
              </w:rPr>
            </w:pPr>
            <w:r w:rsidRPr="007C70C3">
              <w:rPr>
                <w:b/>
                <w:bCs/>
              </w:rPr>
              <w:t xml:space="preserve">Proposed Amendments </w:t>
            </w:r>
          </w:p>
        </w:tc>
        <w:tc>
          <w:tcPr>
            <w:tcW w:w="3999" w:type="dxa"/>
            <w:shd w:val="clear" w:color="auto" w:fill="D9D9D9" w:themeFill="background1" w:themeFillShade="D9"/>
          </w:tcPr>
          <w:p w14:paraId="281B5C4B" w14:textId="77777777" w:rsidR="007C70C3" w:rsidRPr="007C70C3" w:rsidRDefault="007C70C3" w:rsidP="007C70C3">
            <w:pPr>
              <w:rPr>
                <w:b/>
                <w:bCs/>
              </w:rPr>
            </w:pPr>
            <w:r w:rsidRPr="007C70C3">
              <w:rPr>
                <w:b/>
                <w:bCs/>
              </w:rPr>
              <w:t xml:space="preserve">Reasons </w:t>
            </w:r>
          </w:p>
        </w:tc>
      </w:tr>
      <w:tr w:rsidR="007C70C3" w:rsidRPr="007C70C3" w14:paraId="3AB3D758" w14:textId="77777777" w:rsidTr="00AA6BF2">
        <w:tc>
          <w:tcPr>
            <w:tcW w:w="4795" w:type="dxa"/>
          </w:tcPr>
          <w:p w14:paraId="58A7CB6D" w14:textId="600E2452" w:rsidR="007C70C3" w:rsidRPr="007C70C3" w:rsidRDefault="007C70C3" w:rsidP="007C70C3">
            <w:r w:rsidRPr="007C70C3">
              <w:t xml:space="preserve">9. agreeing transfers between cost centres of </w:t>
            </w:r>
            <w:r w:rsidRPr="00854E87">
              <w:rPr>
                <w:color w:val="FF0000"/>
              </w:rPr>
              <w:t>over</w:t>
            </w:r>
            <w:r w:rsidRPr="007C70C3">
              <w:t xml:space="preserve"> </w:t>
            </w:r>
            <w:r w:rsidRPr="007C70C3">
              <w:t xml:space="preserve">£250,000 </w:t>
            </w:r>
            <w:r w:rsidRPr="00854E87">
              <w:rPr>
                <w:strike/>
                <w:color w:val="FF0000"/>
              </w:rPr>
              <w:t>to £500,000 that</w:t>
            </w:r>
            <w:r w:rsidR="00854E87">
              <w:rPr>
                <w:strike/>
                <w:color w:val="FF0000"/>
              </w:rPr>
              <w:t xml:space="preserve"> </w:t>
            </w:r>
            <w:proofErr w:type="gramStart"/>
            <w:r w:rsidRPr="00854E87">
              <w:rPr>
                <w:color w:val="FF0000"/>
              </w:rPr>
              <w:t>provided that</w:t>
            </w:r>
            <w:proofErr w:type="gramEnd"/>
            <w:r w:rsidRPr="00854E87">
              <w:rPr>
                <w:color w:val="FF0000"/>
              </w:rPr>
              <w:t xml:space="preserve"> they </w:t>
            </w:r>
            <w:r w:rsidRPr="007C70C3">
              <w:t>are consistent with the policy framework</w:t>
            </w:r>
          </w:p>
        </w:tc>
        <w:tc>
          <w:tcPr>
            <w:tcW w:w="3999" w:type="dxa"/>
          </w:tcPr>
          <w:p w14:paraId="3833EA64" w14:textId="77777777" w:rsidR="007C70C3" w:rsidRPr="007C70C3" w:rsidRDefault="007C70C3" w:rsidP="007C70C3">
            <w:r w:rsidRPr="007C70C3">
              <w:t xml:space="preserve">The Council function is to set the budget. In year virements etc are an executive function subject to the </w:t>
            </w:r>
          </w:p>
        </w:tc>
      </w:tr>
      <w:tr w:rsidR="007C70C3" w:rsidRPr="007C70C3" w14:paraId="07BB9A37" w14:textId="77777777" w:rsidTr="00AA6BF2">
        <w:tc>
          <w:tcPr>
            <w:tcW w:w="4795" w:type="dxa"/>
          </w:tcPr>
          <w:p w14:paraId="20591CB8" w14:textId="77777777" w:rsidR="007C70C3" w:rsidRPr="007C70C3" w:rsidRDefault="007C70C3" w:rsidP="007C70C3">
            <w:r w:rsidRPr="007C70C3">
              <w:t>10. giving project approval for projects of £</w:t>
            </w:r>
            <w:r w:rsidRPr="00854E87">
              <w:rPr>
                <w:strike/>
                <w:color w:val="FF0000"/>
              </w:rPr>
              <w:t>500</w:t>
            </w:r>
            <w:r w:rsidRPr="00854E87">
              <w:rPr>
                <w:color w:val="FF0000"/>
              </w:rPr>
              <w:t>750</w:t>
            </w:r>
            <w:r w:rsidRPr="007C70C3">
              <w:t xml:space="preserve">,000 or over </w:t>
            </w:r>
            <w:r w:rsidRPr="00854E87">
              <w:rPr>
                <w:strike/>
                <w:color w:val="FF0000"/>
              </w:rPr>
              <w:t>(£1,000,000 for contract awards)</w:t>
            </w:r>
          </w:p>
        </w:tc>
        <w:tc>
          <w:tcPr>
            <w:tcW w:w="3999" w:type="dxa"/>
          </w:tcPr>
          <w:p w14:paraId="15AF78D7" w14:textId="77777777" w:rsidR="007C70C3" w:rsidRPr="007C70C3" w:rsidRDefault="007C70C3" w:rsidP="007C70C3">
            <w:r w:rsidRPr="007C70C3">
              <w:t xml:space="preserve">It is proposed (see below at [xx] to amend this to accord with the legislative provisions) concerning Executive functions. </w:t>
            </w:r>
          </w:p>
        </w:tc>
      </w:tr>
      <w:tr w:rsidR="007C70C3" w:rsidRPr="007C70C3" w14:paraId="6939BFC7" w14:textId="77777777" w:rsidTr="00AA6BF2">
        <w:tc>
          <w:tcPr>
            <w:tcW w:w="4795" w:type="dxa"/>
          </w:tcPr>
          <w:p w14:paraId="4317D5BF" w14:textId="77777777" w:rsidR="007C70C3" w:rsidRPr="007C70C3" w:rsidRDefault="007C70C3" w:rsidP="007C70C3">
            <w:r w:rsidRPr="007C70C3">
              <w:t xml:space="preserve">11. accepting tenders of £1,000,000 or over </w:t>
            </w:r>
          </w:p>
          <w:p w14:paraId="046FC8D9" w14:textId="77777777" w:rsidR="007C70C3" w:rsidRPr="007C70C3" w:rsidRDefault="007C70C3" w:rsidP="007C70C3">
            <w:r w:rsidRPr="007C70C3">
              <w:t>11. Awarding contracts over £750,000</w:t>
            </w:r>
          </w:p>
        </w:tc>
        <w:tc>
          <w:tcPr>
            <w:tcW w:w="3999" w:type="dxa"/>
          </w:tcPr>
          <w:p w14:paraId="4F78D2BF" w14:textId="77777777" w:rsidR="007C70C3" w:rsidRPr="007C70C3" w:rsidRDefault="007C70C3" w:rsidP="007C70C3">
            <w:r w:rsidRPr="007C70C3">
              <w:t xml:space="preserve">This has been interpreted and used in relation to the award of final tender however simplified and clearer wording is below. </w:t>
            </w:r>
          </w:p>
        </w:tc>
      </w:tr>
      <w:tr w:rsidR="007C70C3" w:rsidRPr="007C70C3" w14:paraId="0DEAF269" w14:textId="77777777" w:rsidTr="00AA6BF2">
        <w:tc>
          <w:tcPr>
            <w:tcW w:w="4795" w:type="dxa"/>
          </w:tcPr>
          <w:p w14:paraId="677F1FB0" w14:textId="77777777" w:rsidR="007C70C3" w:rsidRPr="007C70C3" w:rsidRDefault="007C70C3" w:rsidP="007C70C3">
            <w:r w:rsidRPr="007C70C3">
              <w:t xml:space="preserve">12. </w:t>
            </w:r>
            <w:r w:rsidRPr="00854E87">
              <w:rPr>
                <w:strike/>
                <w:color w:val="FF0000"/>
              </w:rPr>
              <w:t xml:space="preserve">recommending to </w:t>
            </w:r>
            <w:proofErr w:type="spellStart"/>
            <w:r w:rsidRPr="00854E87">
              <w:rPr>
                <w:strike/>
                <w:color w:val="FF0000"/>
              </w:rPr>
              <w:t>Council</w:t>
            </w:r>
            <w:r w:rsidRPr="00854E87">
              <w:rPr>
                <w:color w:val="FF0000"/>
              </w:rPr>
              <w:t>approving</w:t>
            </w:r>
            <w:proofErr w:type="spellEnd"/>
            <w:r w:rsidRPr="007C70C3">
              <w:t xml:space="preserve"> loans and financial guarantees of over £250,000 to a company which is not wholly owned by the Council or to another external organisation </w:t>
            </w:r>
            <w:r w:rsidRPr="00854E87">
              <w:rPr>
                <w:color w:val="FF0000"/>
              </w:rPr>
              <w:t>where they would be within the agreed budget set by Council</w:t>
            </w:r>
            <w:r w:rsidRPr="007C70C3">
              <w:t xml:space="preserve">. </w:t>
            </w:r>
            <w:r w:rsidRPr="00854E87">
              <w:rPr>
                <w:color w:val="FF0000"/>
              </w:rPr>
              <w:t xml:space="preserve">Where they are not, Cabinet </w:t>
            </w:r>
            <w:r w:rsidRPr="007C70C3">
              <w:t>recommends</w:t>
            </w:r>
            <w:r w:rsidRPr="007C70C3">
              <w:t xml:space="preserve"> </w:t>
            </w:r>
            <w:r w:rsidRPr="00854E87">
              <w:rPr>
                <w:color w:val="FF0000"/>
              </w:rPr>
              <w:t xml:space="preserve">to Council to approve the budget allocation </w:t>
            </w:r>
            <w:r w:rsidRPr="00854E87">
              <w:rPr>
                <w:color w:val="FF0000"/>
              </w:rPr>
              <w:lastRenderedPageBreak/>
              <w:t>beforehand.</w:t>
            </w:r>
          </w:p>
        </w:tc>
        <w:tc>
          <w:tcPr>
            <w:tcW w:w="3999" w:type="dxa"/>
          </w:tcPr>
          <w:p w14:paraId="12EFA072" w14:textId="77777777" w:rsidR="007C70C3" w:rsidRPr="007C70C3" w:rsidRDefault="007C70C3" w:rsidP="007C70C3">
            <w:r w:rsidRPr="007C70C3">
              <w:lastRenderedPageBreak/>
              <w:t xml:space="preserve">The granting of a loan is an Executive function where there is available budget in the approved budget envelope and where it is in line with the Council’s policy framework this this is amended to reflect that but make clear the limits. A corresponding change is </w:t>
            </w:r>
            <w:r w:rsidRPr="007C70C3">
              <w:lastRenderedPageBreak/>
              <w:t xml:space="preserve">made in the Financial Rules. </w:t>
            </w:r>
          </w:p>
        </w:tc>
      </w:tr>
      <w:tr w:rsidR="00CC2F5D" w:rsidRPr="007C70C3" w14:paraId="1D6A52BA" w14:textId="77777777" w:rsidTr="00AA6BF2">
        <w:tc>
          <w:tcPr>
            <w:tcW w:w="4795" w:type="dxa"/>
          </w:tcPr>
          <w:p w14:paraId="3D29AEA3" w14:textId="00659002" w:rsidR="00CC2F5D" w:rsidRPr="007C70C3" w:rsidRDefault="00CC2F5D" w:rsidP="00CC2F5D">
            <w:r>
              <w:lastRenderedPageBreak/>
              <w:t xml:space="preserve">20. acquiring or disposing of freeholds </w:t>
            </w:r>
            <w:r w:rsidRPr="00764E6F">
              <w:rPr>
                <w:strike/>
                <w:color w:val="FF0000"/>
              </w:rPr>
              <w:t xml:space="preserve">or leaseholds </w:t>
            </w:r>
            <w:r>
              <w:t>with a consideration or premium over £</w:t>
            </w:r>
            <w:r w:rsidRPr="00764E6F">
              <w:rPr>
                <w:color w:val="FF0000"/>
              </w:rPr>
              <w:t>750</w:t>
            </w:r>
            <w:r w:rsidRPr="00764E6F">
              <w:rPr>
                <w:strike/>
                <w:color w:val="FF0000"/>
              </w:rPr>
              <w:t>500</w:t>
            </w:r>
            <w:r>
              <w:t xml:space="preserve">,000 except for disposals pursuant to right to buy legislation </w:t>
            </w:r>
          </w:p>
        </w:tc>
        <w:tc>
          <w:tcPr>
            <w:tcW w:w="3999" w:type="dxa"/>
          </w:tcPr>
          <w:p w14:paraId="031D7DA8" w14:textId="3252C6BF" w:rsidR="00CC2F5D" w:rsidRPr="007C70C3" w:rsidRDefault="00CC2F5D" w:rsidP="00CC2F5D">
            <w:r>
              <w:t xml:space="preserve">To reflect the key decision changes </w:t>
            </w:r>
          </w:p>
        </w:tc>
      </w:tr>
      <w:tr w:rsidR="00CC2F5D" w:rsidRPr="007C70C3" w14:paraId="5A8305B0" w14:textId="77777777" w:rsidTr="00AA6BF2">
        <w:tc>
          <w:tcPr>
            <w:tcW w:w="4795" w:type="dxa"/>
          </w:tcPr>
          <w:p w14:paraId="6D3E385A" w14:textId="7A068D9C" w:rsidR="00CC2F5D" w:rsidRDefault="00CC2F5D" w:rsidP="00CC2F5D">
            <w:r>
              <w:t xml:space="preserve">21. acquiring or disposing of </w:t>
            </w:r>
            <w:r w:rsidRPr="00023E99">
              <w:rPr>
                <w:color w:val="auto"/>
              </w:rPr>
              <w:t>leases with</w:t>
            </w:r>
            <w:r w:rsidRPr="00023E99">
              <w:rPr>
                <w:strike/>
                <w:color w:val="auto"/>
              </w:rPr>
              <w:t xml:space="preserve"> </w:t>
            </w:r>
            <w:r w:rsidRPr="00023E99">
              <w:rPr>
                <w:strike/>
                <w:color w:val="FF0000"/>
              </w:rPr>
              <w:t>a rental value over £12</w:t>
            </w:r>
            <w:r w:rsidR="00023E99" w:rsidRPr="00023E99">
              <w:rPr>
                <w:strike/>
                <w:color w:val="FF0000"/>
              </w:rPr>
              <w:t>0</w:t>
            </w:r>
            <w:r w:rsidRPr="00023E99">
              <w:rPr>
                <w:strike/>
                <w:color w:val="FF0000"/>
              </w:rPr>
              <w:t>,000 each year</w:t>
            </w:r>
            <w:r w:rsidRPr="00023E99">
              <w:rPr>
                <w:color w:val="FF0000"/>
              </w:rPr>
              <w:t xml:space="preserve"> </w:t>
            </w:r>
            <w:r w:rsidR="00023E99" w:rsidRPr="00BE638C">
              <w:rPr>
                <w:color w:val="FF0000"/>
              </w:rPr>
              <w:t xml:space="preserve">either </w:t>
            </w:r>
            <w:r w:rsidR="00023E99" w:rsidRPr="00023E99">
              <w:rPr>
                <w:color w:val="FF0000"/>
              </w:rPr>
              <w:t xml:space="preserve">the rental value is </w:t>
            </w:r>
            <w:proofErr w:type="gramStart"/>
            <w:r w:rsidR="00023E99" w:rsidRPr="00023E99">
              <w:rPr>
                <w:color w:val="FF0000"/>
              </w:rPr>
              <w:t>in excess of</w:t>
            </w:r>
            <w:proofErr w:type="gramEnd"/>
            <w:r w:rsidR="00023E99" w:rsidRPr="00023E99">
              <w:rPr>
                <w:color w:val="FF0000"/>
              </w:rPr>
              <w:t xml:space="preserve"> £150,000 per annum and/or the premium is £750,000 </w:t>
            </w:r>
            <w:r>
              <w:t>except statutory lease renewals under Part II of the Landlord &amp; Tenant Act 1954</w:t>
            </w:r>
            <w:r w:rsidR="00023E99">
              <w:t xml:space="preserve"> </w:t>
            </w:r>
            <w:r w:rsidR="00023E99" w:rsidRPr="00023E99">
              <w:rPr>
                <w:color w:val="FF0000"/>
              </w:rPr>
              <w:t>and disposals pursuant to right to buy legislation</w:t>
            </w:r>
          </w:p>
        </w:tc>
        <w:tc>
          <w:tcPr>
            <w:tcW w:w="3999" w:type="dxa"/>
          </w:tcPr>
          <w:p w14:paraId="0704B43C" w14:textId="3BB59473" w:rsidR="00CC2F5D" w:rsidRPr="007C70C3" w:rsidRDefault="00CC2F5D" w:rsidP="00CC2F5D">
            <w:r>
              <w:t xml:space="preserve">To reflect the key decision changes </w:t>
            </w:r>
          </w:p>
        </w:tc>
      </w:tr>
      <w:tr w:rsidR="00CC2F5D" w:rsidRPr="007C70C3" w14:paraId="431A1C29" w14:textId="77777777" w:rsidTr="00AA6BF2">
        <w:tc>
          <w:tcPr>
            <w:tcW w:w="4795" w:type="dxa"/>
          </w:tcPr>
          <w:p w14:paraId="260C2BDE" w14:textId="3FEF2B4A" w:rsidR="00CC2F5D" w:rsidRDefault="00CC2F5D" w:rsidP="00CC2F5D">
            <w:r>
              <w:t>22. acquiring or disposing of easements with a value over £</w:t>
            </w:r>
            <w:r w:rsidRPr="00CC2F5D">
              <w:rPr>
                <w:color w:val="FF0000"/>
              </w:rPr>
              <w:t>75</w:t>
            </w:r>
            <w:r w:rsidRPr="00CC2F5D">
              <w:rPr>
                <w:strike/>
                <w:color w:val="FF0000"/>
              </w:rPr>
              <w:t>50</w:t>
            </w:r>
            <w:r>
              <w:t>0,000 and/or rental value over £</w:t>
            </w:r>
            <w:r w:rsidRPr="00CC2F5D">
              <w:rPr>
                <w:strike/>
                <w:color w:val="FF0000"/>
              </w:rPr>
              <w:t>125</w:t>
            </w:r>
            <w:r>
              <w:rPr>
                <w:strike/>
                <w:color w:val="FF0000"/>
              </w:rPr>
              <w:t xml:space="preserve"> </w:t>
            </w:r>
            <w:r w:rsidRPr="00CC2F5D">
              <w:rPr>
                <w:color w:val="FF0000"/>
              </w:rPr>
              <w:t>250</w:t>
            </w:r>
            <w:r>
              <w:t>,000 each year</w:t>
            </w:r>
          </w:p>
        </w:tc>
        <w:tc>
          <w:tcPr>
            <w:tcW w:w="3999" w:type="dxa"/>
          </w:tcPr>
          <w:p w14:paraId="3BFBB9F7" w14:textId="22244288" w:rsidR="00CC2F5D" w:rsidRPr="007C70C3" w:rsidRDefault="00CC2F5D" w:rsidP="00CC2F5D">
            <w:r>
              <w:t xml:space="preserve">To reflect the key decision changes </w:t>
            </w:r>
          </w:p>
        </w:tc>
      </w:tr>
    </w:tbl>
    <w:p w14:paraId="38FEBD6F" w14:textId="77777777" w:rsidR="005A0974" w:rsidRDefault="005A0974" w:rsidP="005A0974"/>
    <w:p w14:paraId="30D4C784" w14:textId="0B286AFB" w:rsidR="005A0974" w:rsidRPr="007C70C3" w:rsidRDefault="007C70C3" w:rsidP="005A0974">
      <w:pPr>
        <w:rPr>
          <w:b/>
          <w:bCs/>
        </w:rPr>
      </w:pPr>
      <w:r>
        <w:rPr>
          <w:b/>
          <w:bCs/>
        </w:rPr>
        <w:t xml:space="preserve">Financial Rules </w:t>
      </w:r>
    </w:p>
    <w:p w14:paraId="1EDE290D" w14:textId="194BFD3A" w:rsidR="00EC6FD6" w:rsidRDefault="0057220C" w:rsidP="00921A34">
      <w:pPr>
        <w:pStyle w:val="ListParagraph"/>
      </w:pPr>
      <w:r>
        <w:t xml:space="preserve">The following changes are proposed to the Financial Rules, with an explanation adjacent to each: </w:t>
      </w:r>
    </w:p>
    <w:tbl>
      <w:tblPr>
        <w:tblStyle w:val="TableGrid1"/>
        <w:tblW w:w="0" w:type="auto"/>
        <w:tblInd w:w="720" w:type="dxa"/>
        <w:tblLook w:val="04A0" w:firstRow="1" w:lastRow="0" w:firstColumn="1" w:lastColumn="0" w:noHBand="0" w:noVBand="1"/>
      </w:tblPr>
      <w:tblGrid>
        <w:gridCol w:w="283"/>
        <w:gridCol w:w="2362"/>
        <w:gridCol w:w="1461"/>
        <w:gridCol w:w="954"/>
        <w:gridCol w:w="3508"/>
      </w:tblGrid>
      <w:tr w:rsidR="0057220C" w:rsidRPr="0057220C" w14:paraId="524FC744" w14:textId="77777777" w:rsidTr="0057220C">
        <w:trPr>
          <w:trHeight w:val="552"/>
        </w:trPr>
        <w:tc>
          <w:tcPr>
            <w:tcW w:w="5192" w:type="dxa"/>
            <w:gridSpan w:val="4"/>
            <w:shd w:val="clear" w:color="auto" w:fill="D9D9D9" w:themeFill="background1" w:themeFillShade="D9"/>
          </w:tcPr>
          <w:p w14:paraId="08101332" w14:textId="5103D652" w:rsidR="0057220C" w:rsidRPr="0057220C" w:rsidRDefault="0057220C" w:rsidP="0057220C">
            <w:pPr>
              <w:spacing w:after="0"/>
              <w:contextualSpacing/>
              <w:rPr>
                <w:b/>
                <w:bCs/>
                <w:color w:val="auto"/>
              </w:rPr>
            </w:pPr>
            <w:r w:rsidRPr="0057220C">
              <w:rPr>
                <w:b/>
                <w:bCs/>
                <w:color w:val="auto"/>
              </w:rPr>
              <w:t xml:space="preserve">Proposed Amendment </w:t>
            </w:r>
          </w:p>
        </w:tc>
        <w:tc>
          <w:tcPr>
            <w:tcW w:w="3602" w:type="dxa"/>
            <w:shd w:val="clear" w:color="auto" w:fill="D9D9D9" w:themeFill="background1" w:themeFillShade="D9"/>
          </w:tcPr>
          <w:p w14:paraId="6BBD2560" w14:textId="1E8D3CEB" w:rsidR="0057220C" w:rsidRPr="0057220C" w:rsidRDefault="0057220C" w:rsidP="0057220C">
            <w:pPr>
              <w:spacing w:after="0"/>
              <w:contextualSpacing/>
              <w:rPr>
                <w:b/>
                <w:bCs/>
                <w:color w:val="auto"/>
              </w:rPr>
            </w:pPr>
            <w:r w:rsidRPr="0057220C">
              <w:rPr>
                <w:b/>
                <w:bCs/>
                <w:color w:val="auto"/>
              </w:rPr>
              <w:t xml:space="preserve">Reasons </w:t>
            </w:r>
          </w:p>
        </w:tc>
      </w:tr>
      <w:tr w:rsidR="0057220C" w:rsidRPr="0057220C" w14:paraId="7FC49A0C" w14:textId="08776429" w:rsidTr="0057220C">
        <w:trPr>
          <w:trHeight w:val="552"/>
        </w:trPr>
        <w:tc>
          <w:tcPr>
            <w:tcW w:w="5192" w:type="dxa"/>
            <w:gridSpan w:val="4"/>
          </w:tcPr>
          <w:p w14:paraId="0387103C" w14:textId="00F353B2" w:rsidR="0057220C" w:rsidRDefault="0057220C" w:rsidP="0057220C">
            <w:pPr>
              <w:spacing w:after="0"/>
              <w:contextualSpacing/>
              <w:rPr>
                <w:color w:val="auto"/>
              </w:rPr>
            </w:pPr>
            <w:r w:rsidRPr="0057220C">
              <w:rPr>
                <w:color w:val="auto"/>
              </w:rPr>
              <w:t xml:space="preserve">18.8 </w:t>
            </w:r>
          </w:p>
          <w:p w14:paraId="1E1EE258" w14:textId="77777777" w:rsidR="0003570E" w:rsidRPr="0057220C" w:rsidRDefault="0003570E" w:rsidP="0057220C">
            <w:pPr>
              <w:spacing w:after="0"/>
              <w:contextualSpacing/>
              <w:rPr>
                <w:color w:val="auto"/>
              </w:rPr>
            </w:pPr>
          </w:p>
          <w:p w14:paraId="6F868877" w14:textId="77777777" w:rsidR="0057220C" w:rsidRPr="0057220C" w:rsidRDefault="0057220C" w:rsidP="0057220C">
            <w:pPr>
              <w:spacing w:after="0"/>
              <w:contextualSpacing/>
              <w:rPr>
                <w:color w:val="auto"/>
              </w:rPr>
            </w:pPr>
            <w:r w:rsidRPr="0057220C">
              <w:rPr>
                <w:color w:val="auto"/>
              </w:rPr>
              <w:t xml:space="preserve">Council - agreeing transfers between cost centres that </w:t>
            </w:r>
            <w:r w:rsidRPr="00854E87">
              <w:rPr>
                <w:strike/>
                <w:color w:val="FF0000"/>
              </w:rPr>
              <w:t>are over £500,000 or</w:t>
            </w:r>
            <w:r w:rsidRPr="00854E87">
              <w:rPr>
                <w:color w:val="FF0000"/>
              </w:rPr>
              <w:t xml:space="preserve"> </w:t>
            </w:r>
            <w:r w:rsidRPr="0057220C">
              <w:rPr>
                <w:color w:val="auto"/>
              </w:rPr>
              <w:t>breach the policy framework</w:t>
            </w:r>
            <w:r w:rsidRPr="0057220C">
              <w:rPr>
                <w:color w:val="auto"/>
              </w:rPr>
              <w:t xml:space="preserve"> </w:t>
            </w:r>
            <w:r w:rsidRPr="00854E87">
              <w:rPr>
                <w:color w:val="FF0000"/>
              </w:rPr>
              <w:t xml:space="preserve">or are not within the approved budget envelope. </w:t>
            </w:r>
          </w:p>
          <w:p w14:paraId="172E1FB0" w14:textId="77777777" w:rsidR="0057220C" w:rsidRPr="0057220C" w:rsidRDefault="0057220C" w:rsidP="0057220C">
            <w:pPr>
              <w:spacing w:after="0"/>
              <w:contextualSpacing/>
              <w:rPr>
                <w:color w:val="auto"/>
              </w:rPr>
            </w:pPr>
          </w:p>
          <w:p w14:paraId="5F82707D" w14:textId="7CA262A2" w:rsidR="0057220C" w:rsidRPr="0057220C" w:rsidRDefault="0057220C" w:rsidP="0057220C">
            <w:pPr>
              <w:spacing w:after="0"/>
              <w:contextualSpacing/>
              <w:rPr>
                <w:color w:val="auto"/>
              </w:rPr>
            </w:pPr>
            <w:r w:rsidRPr="0057220C">
              <w:rPr>
                <w:color w:val="auto"/>
              </w:rPr>
              <w:t xml:space="preserve">Cabinet - agreeing transfers between cost centres of </w:t>
            </w:r>
            <w:r w:rsidRPr="00854E87">
              <w:rPr>
                <w:strike/>
                <w:color w:val="FF0000"/>
              </w:rPr>
              <w:t>&gt;</w:t>
            </w:r>
            <w:r w:rsidRPr="0057220C">
              <w:rPr>
                <w:color w:val="auto"/>
              </w:rPr>
              <w:t xml:space="preserve"> £250,000 or </w:t>
            </w:r>
            <w:r w:rsidRPr="00854E87">
              <w:rPr>
                <w:color w:val="FF0000"/>
              </w:rPr>
              <w:t>over</w:t>
            </w:r>
            <w:r w:rsidRPr="0057220C" w:rsidDel="00E112F2">
              <w:rPr>
                <w:color w:val="auto"/>
              </w:rPr>
              <w:t xml:space="preserve"> </w:t>
            </w:r>
            <w:r w:rsidRPr="00854E87">
              <w:rPr>
                <w:strike/>
                <w:color w:val="FF0000"/>
              </w:rPr>
              <w:t>= &lt;£500,000 that are</w:t>
            </w:r>
            <w:r w:rsidR="00854E87">
              <w:rPr>
                <w:strike/>
                <w:color w:val="FF0000"/>
              </w:rPr>
              <w:t xml:space="preserve"> </w:t>
            </w:r>
            <w:r w:rsidRPr="00854E87">
              <w:rPr>
                <w:color w:val="FF0000"/>
              </w:rPr>
              <w:t xml:space="preserve">where they are </w:t>
            </w:r>
            <w:r w:rsidRPr="0057220C">
              <w:rPr>
                <w:color w:val="auto"/>
              </w:rPr>
              <w:t xml:space="preserve">in line with the Council’s policy framework </w:t>
            </w:r>
            <w:r w:rsidRPr="00854E87">
              <w:rPr>
                <w:color w:val="FF0000"/>
              </w:rPr>
              <w:t>and the approved budget envelope</w:t>
            </w:r>
          </w:p>
          <w:p w14:paraId="2A22452D" w14:textId="77777777" w:rsidR="0057220C" w:rsidRPr="0057220C" w:rsidRDefault="0057220C" w:rsidP="0057220C">
            <w:pPr>
              <w:spacing w:after="0"/>
              <w:contextualSpacing/>
              <w:rPr>
                <w:color w:val="auto"/>
              </w:rPr>
            </w:pPr>
          </w:p>
        </w:tc>
        <w:tc>
          <w:tcPr>
            <w:tcW w:w="3602" w:type="dxa"/>
          </w:tcPr>
          <w:p w14:paraId="7E7DC338" w14:textId="3B46CEC2" w:rsidR="00CA6177" w:rsidRDefault="0003570E" w:rsidP="00CA6177">
            <w:pPr>
              <w:pStyle w:val="Heading1"/>
              <w:shd w:val="clear" w:color="auto" w:fill="FFFFFF"/>
              <w:spacing w:before="0" w:after="0"/>
              <w:textAlignment w:val="baseline"/>
              <w:rPr>
                <w:b w:val="0"/>
                <w:bCs/>
                <w:color w:val="000000" w:themeColor="text1"/>
                <w:bdr w:val="none" w:sz="0" w:space="0" w:color="auto" w:frame="1"/>
              </w:rPr>
            </w:pPr>
            <w:r w:rsidRPr="00CA6177">
              <w:rPr>
                <w:b w:val="0"/>
                <w:bCs/>
                <w:color w:val="auto"/>
              </w:rPr>
              <w:t xml:space="preserve">This is to reflect the provisions around Executive Arrangements in the </w:t>
            </w:r>
            <w:r w:rsidR="00CA6177" w:rsidRPr="00CA6177">
              <w:rPr>
                <w:b w:val="0"/>
                <w:bCs/>
                <w:color w:val="000000" w:themeColor="text1"/>
                <w:bdr w:val="none" w:sz="0" w:space="0" w:color="auto" w:frame="1"/>
              </w:rPr>
              <w:t>Local Authorities (Functions and Responsibilities) (England) Regulations 2000</w:t>
            </w:r>
            <w:r w:rsidR="00CA6177">
              <w:rPr>
                <w:b w:val="0"/>
                <w:bCs/>
                <w:color w:val="000000" w:themeColor="text1"/>
                <w:bdr w:val="none" w:sz="0" w:space="0" w:color="auto" w:frame="1"/>
              </w:rPr>
              <w:t xml:space="preserve">. This states that where </w:t>
            </w:r>
            <w:r w:rsidR="00753F6A">
              <w:rPr>
                <w:b w:val="0"/>
                <w:bCs/>
                <w:color w:val="000000" w:themeColor="text1"/>
                <w:bdr w:val="none" w:sz="0" w:space="0" w:color="auto" w:frame="1"/>
              </w:rPr>
              <w:t xml:space="preserve">decisions concerning the budget are within the </w:t>
            </w:r>
            <w:r w:rsidR="00F5241A">
              <w:rPr>
                <w:b w:val="0"/>
                <w:bCs/>
                <w:color w:val="000000" w:themeColor="text1"/>
                <w:bdr w:val="none" w:sz="0" w:space="0" w:color="auto" w:frame="1"/>
              </w:rPr>
              <w:t xml:space="preserve">approved budget and the policy framework then they can be the responsibility of the Executive. </w:t>
            </w:r>
          </w:p>
          <w:p w14:paraId="31D633F5" w14:textId="77777777" w:rsidR="00F5241A" w:rsidRDefault="00F5241A" w:rsidP="00F5241A"/>
          <w:p w14:paraId="271C0565" w14:textId="37748405" w:rsidR="00F5241A" w:rsidRPr="00F5241A" w:rsidRDefault="00F5241A" w:rsidP="00F5241A">
            <w:r>
              <w:t xml:space="preserve">It would not allow for e.g. Cabinet to approve a virement from the HRA to the general fund or where there is not the money in the budget to be </w:t>
            </w:r>
            <w:proofErr w:type="spellStart"/>
            <w:r>
              <w:t>vired</w:t>
            </w:r>
            <w:proofErr w:type="spellEnd"/>
            <w:r>
              <w:t xml:space="preserve">. </w:t>
            </w:r>
          </w:p>
          <w:p w14:paraId="674A2C71" w14:textId="39B72C90" w:rsidR="0057220C" w:rsidRPr="0057220C" w:rsidRDefault="0057220C" w:rsidP="0057220C">
            <w:pPr>
              <w:spacing w:after="0"/>
              <w:contextualSpacing/>
              <w:rPr>
                <w:color w:val="auto"/>
              </w:rPr>
            </w:pPr>
          </w:p>
        </w:tc>
      </w:tr>
      <w:tr w:rsidR="00F5241A" w:rsidRPr="0057220C" w14:paraId="118AC095" w14:textId="56E3A1A8" w:rsidTr="0057220C">
        <w:trPr>
          <w:trHeight w:val="552"/>
        </w:trPr>
        <w:tc>
          <w:tcPr>
            <w:tcW w:w="5192" w:type="dxa"/>
            <w:gridSpan w:val="4"/>
          </w:tcPr>
          <w:p w14:paraId="3456C23C" w14:textId="77777777" w:rsidR="00F5241A" w:rsidRPr="0057220C" w:rsidRDefault="00F5241A" w:rsidP="0057220C">
            <w:pPr>
              <w:spacing w:after="0"/>
              <w:contextualSpacing/>
              <w:rPr>
                <w:color w:val="auto"/>
              </w:rPr>
            </w:pPr>
            <w:r w:rsidRPr="0057220C">
              <w:rPr>
                <w:color w:val="auto"/>
              </w:rPr>
              <w:t xml:space="preserve">18.10 – amend the table as follows: </w:t>
            </w:r>
          </w:p>
          <w:p w14:paraId="7F6645A5" w14:textId="77777777" w:rsidR="00F5241A" w:rsidRPr="0057220C" w:rsidRDefault="00F5241A" w:rsidP="0057220C">
            <w:pPr>
              <w:spacing w:after="0"/>
              <w:contextualSpacing/>
              <w:rPr>
                <w:color w:val="auto"/>
              </w:rPr>
            </w:pPr>
          </w:p>
        </w:tc>
        <w:tc>
          <w:tcPr>
            <w:tcW w:w="3602" w:type="dxa"/>
            <w:vMerge w:val="restart"/>
          </w:tcPr>
          <w:p w14:paraId="75BD989F" w14:textId="3F5B09FB" w:rsidR="00F5241A" w:rsidRPr="0057220C" w:rsidRDefault="00944606" w:rsidP="0057220C">
            <w:pPr>
              <w:spacing w:after="0"/>
              <w:contextualSpacing/>
              <w:rPr>
                <w:color w:val="auto"/>
              </w:rPr>
            </w:pPr>
            <w:r>
              <w:rPr>
                <w:color w:val="auto"/>
              </w:rPr>
              <w:t xml:space="preserve">As above </w:t>
            </w:r>
          </w:p>
        </w:tc>
      </w:tr>
      <w:tr w:rsidR="00F5241A" w:rsidRPr="0057220C" w14:paraId="2D1E0731" w14:textId="6849AEFE" w:rsidTr="0057220C">
        <w:trPr>
          <w:trHeight w:val="276"/>
        </w:trPr>
        <w:tc>
          <w:tcPr>
            <w:tcW w:w="287" w:type="dxa"/>
            <w:vMerge w:val="restart"/>
          </w:tcPr>
          <w:p w14:paraId="130ACE80" w14:textId="77777777" w:rsidR="00F5241A" w:rsidRPr="0057220C" w:rsidRDefault="00F5241A" w:rsidP="0057220C">
            <w:pPr>
              <w:spacing w:after="0"/>
              <w:contextualSpacing/>
              <w:rPr>
                <w:color w:val="auto"/>
              </w:rPr>
            </w:pPr>
          </w:p>
        </w:tc>
        <w:tc>
          <w:tcPr>
            <w:tcW w:w="2420" w:type="dxa"/>
          </w:tcPr>
          <w:p w14:paraId="20A0CB16" w14:textId="77777777" w:rsidR="00F5241A" w:rsidRPr="0057220C" w:rsidRDefault="00F5241A" w:rsidP="0057220C">
            <w:pPr>
              <w:spacing w:after="0"/>
              <w:contextualSpacing/>
              <w:rPr>
                <w:color w:val="auto"/>
              </w:rPr>
            </w:pPr>
            <w:r w:rsidRPr="0057220C">
              <w:rPr>
                <w:color w:val="auto"/>
              </w:rPr>
              <w:t>£250,000</w:t>
            </w:r>
            <w:r w:rsidRPr="0057220C">
              <w:rPr>
                <w:color w:val="auto"/>
              </w:rPr>
              <w:t xml:space="preserve"> </w:t>
            </w:r>
            <w:r w:rsidRPr="00854E87">
              <w:rPr>
                <w:color w:val="FF0000"/>
              </w:rPr>
              <w:t>or where they are</w:t>
            </w:r>
            <w:r w:rsidRPr="00854E87">
              <w:rPr>
                <w:strike/>
                <w:color w:val="FF0000"/>
              </w:rPr>
              <w:t xml:space="preserve"> =</w:t>
            </w:r>
            <w:r w:rsidRPr="00854E87">
              <w:rPr>
                <w:color w:val="FF0000"/>
              </w:rPr>
              <w:t xml:space="preserve"> </w:t>
            </w:r>
            <w:r w:rsidRPr="00854E87">
              <w:rPr>
                <w:strike/>
                <w:color w:val="FF0000"/>
              </w:rPr>
              <w:lastRenderedPageBreak/>
              <w:t>&lt;£500,000 that</w:t>
            </w:r>
            <w:r w:rsidRPr="00854E87">
              <w:rPr>
                <w:color w:val="FF0000"/>
              </w:rPr>
              <w:t xml:space="preserve"> </w:t>
            </w:r>
            <w:r w:rsidRPr="0057220C">
              <w:rPr>
                <w:color w:val="auto"/>
              </w:rPr>
              <w:t>are in line with the Council’s Policy Framework</w:t>
            </w:r>
            <w:r w:rsidRPr="0057220C">
              <w:rPr>
                <w:color w:val="auto"/>
              </w:rPr>
              <w:t xml:space="preserve"> </w:t>
            </w:r>
            <w:r w:rsidRPr="00854E87">
              <w:rPr>
                <w:color w:val="FF0000"/>
              </w:rPr>
              <w:t xml:space="preserve">and within the approved budget envelope. </w:t>
            </w:r>
          </w:p>
        </w:tc>
        <w:tc>
          <w:tcPr>
            <w:tcW w:w="1486" w:type="dxa"/>
          </w:tcPr>
          <w:p w14:paraId="539BC283" w14:textId="77777777" w:rsidR="00F5241A" w:rsidRPr="0057220C" w:rsidRDefault="00F5241A" w:rsidP="0057220C">
            <w:pPr>
              <w:spacing w:after="0"/>
              <w:contextualSpacing/>
              <w:rPr>
                <w:color w:val="auto"/>
              </w:rPr>
            </w:pPr>
            <w:r w:rsidRPr="0057220C">
              <w:rPr>
                <w:color w:val="auto"/>
              </w:rPr>
              <w:lastRenderedPageBreak/>
              <w:t xml:space="preserve">Cabinet </w:t>
            </w:r>
          </w:p>
        </w:tc>
        <w:tc>
          <w:tcPr>
            <w:tcW w:w="999" w:type="dxa"/>
            <w:vMerge w:val="restart"/>
          </w:tcPr>
          <w:p w14:paraId="19820C49" w14:textId="77777777" w:rsidR="00F5241A" w:rsidRPr="0057220C" w:rsidRDefault="00F5241A" w:rsidP="0057220C">
            <w:pPr>
              <w:spacing w:after="0"/>
              <w:contextualSpacing/>
              <w:rPr>
                <w:color w:val="auto"/>
              </w:rPr>
            </w:pPr>
          </w:p>
        </w:tc>
        <w:tc>
          <w:tcPr>
            <w:tcW w:w="3602" w:type="dxa"/>
            <w:vMerge/>
          </w:tcPr>
          <w:p w14:paraId="6DCB23DB" w14:textId="77777777" w:rsidR="00F5241A" w:rsidRPr="0057220C" w:rsidRDefault="00F5241A" w:rsidP="0057220C">
            <w:pPr>
              <w:spacing w:after="0"/>
              <w:contextualSpacing/>
              <w:rPr>
                <w:color w:val="auto"/>
              </w:rPr>
            </w:pPr>
          </w:p>
        </w:tc>
      </w:tr>
      <w:tr w:rsidR="00F5241A" w:rsidRPr="0057220C" w14:paraId="7D12B8FC" w14:textId="250A2E4F" w:rsidTr="0057220C">
        <w:trPr>
          <w:trHeight w:val="276"/>
        </w:trPr>
        <w:tc>
          <w:tcPr>
            <w:tcW w:w="287" w:type="dxa"/>
            <w:vMerge/>
          </w:tcPr>
          <w:p w14:paraId="74069EE4" w14:textId="77777777" w:rsidR="00F5241A" w:rsidRPr="0057220C" w:rsidRDefault="00F5241A" w:rsidP="0057220C">
            <w:pPr>
              <w:spacing w:after="0"/>
              <w:contextualSpacing/>
              <w:rPr>
                <w:color w:val="auto"/>
              </w:rPr>
            </w:pPr>
          </w:p>
        </w:tc>
        <w:tc>
          <w:tcPr>
            <w:tcW w:w="2420" w:type="dxa"/>
          </w:tcPr>
          <w:p w14:paraId="3D0A8498" w14:textId="77777777" w:rsidR="00F5241A" w:rsidRPr="0057220C" w:rsidRDefault="00F5241A" w:rsidP="0057220C">
            <w:pPr>
              <w:spacing w:after="0"/>
              <w:contextualSpacing/>
              <w:rPr>
                <w:color w:val="auto"/>
              </w:rPr>
            </w:pPr>
            <w:r w:rsidRPr="00854E87">
              <w:rPr>
                <w:strike/>
                <w:color w:val="FF0000"/>
              </w:rPr>
              <w:t>&gt;£500,000</w:t>
            </w:r>
            <w:r w:rsidRPr="00854E87">
              <w:rPr>
                <w:color w:val="FF0000"/>
              </w:rPr>
              <w:t xml:space="preserve"> where they are not within the </w:t>
            </w:r>
            <w:r w:rsidRPr="00854E87">
              <w:rPr>
                <w:strike/>
                <w:color w:val="FF0000"/>
              </w:rPr>
              <w:t xml:space="preserve">or breach of the </w:t>
            </w:r>
            <w:r w:rsidRPr="0057220C">
              <w:rPr>
                <w:color w:val="auto"/>
              </w:rPr>
              <w:t>Council’s policy Framework</w:t>
            </w:r>
            <w:r w:rsidRPr="0057220C">
              <w:rPr>
                <w:color w:val="auto"/>
              </w:rPr>
              <w:t xml:space="preserve"> </w:t>
            </w:r>
            <w:r w:rsidRPr="00854E87">
              <w:rPr>
                <w:color w:val="FF0000"/>
              </w:rPr>
              <w:t>or approved budget envelope.</w:t>
            </w:r>
          </w:p>
        </w:tc>
        <w:tc>
          <w:tcPr>
            <w:tcW w:w="1486" w:type="dxa"/>
          </w:tcPr>
          <w:p w14:paraId="578D871F" w14:textId="77777777" w:rsidR="00F5241A" w:rsidRPr="0057220C" w:rsidRDefault="00F5241A" w:rsidP="0057220C">
            <w:pPr>
              <w:spacing w:after="0"/>
              <w:contextualSpacing/>
              <w:rPr>
                <w:color w:val="auto"/>
              </w:rPr>
            </w:pPr>
            <w:r w:rsidRPr="0057220C">
              <w:rPr>
                <w:color w:val="auto"/>
              </w:rPr>
              <w:t xml:space="preserve">Council </w:t>
            </w:r>
          </w:p>
        </w:tc>
        <w:tc>
          <w:tcPr>
            <w:tcW w:w="999" w:type="dxa"/>
            <w:vMerge/>
          </w:tcPr>
          <w:p w14:paraId="6B858A2C" w14:textId="77777777" w:rsidR="00F5241A" w:rsidRPr="0057220C" w:rsidRDefault="00F5241A" w:rsidP="0057220C">
            <w:pPr>
              <w:spacing w:after="0"/>
              <w:contextualSpacing/>
              <w:rPr>
                <w:color w:val="auto"/>
              </w:rPr>
            </w:pPr>
          </w:p>
        </w:tc>
        <w:tc>
          <w:tcPr>
            <w:tcW w:w="3602" w:type="dxa"/>
            <w:vMerge/>
          </w:tcPr>
          <w:p w14:paraId="129F41D4" w14:textId="77777777" w:rsidR="00F5241A" w:rsidRPr="0057220C" w:rsidRDefault="00F5241A" w:rsidP="0057220C">
            <w:pPr>
              <w:spacing w:after="0"/>
              <w:contextualSpacing/>
              <w:rPr>
                <w:color w:val="auto"/>
              </w:rPr>
            </w:pPr>
          </w:p>
        </w:tc>
      </w:tr>
      <w:tr w:rsidR="0057220C" w:rsidRPr="0057220C" w14:paraId="32994EBD" w14:textId="671288F1" w:rsidTr="0057220C">
        <w:tc>
          <w:tcPr>
            <w:tcW w:w="5192" w:type="dxa"/>
            <w:gridSpan w:val="4"/>
          </w:tcPr>
          <w:p w14:paraId="524F9741" w14:textId="77777777" w:rsidR="0057220C" w:rsidRPr="0057220C" w:rsidRDefault="0057220C" w:rsidP="0057220C">
            <w:pPr>
              <w:spacing w:after="0"/>
              <w:contextualSpacing/>
              <w:rPr>
                <w:color w:val="auto"/>
              </w:rPr>
            </w:pPr>
            <w:r w:rsidRPr="0057220C">
              <w:rPr>
                <w:color w:val="auto"/>
              </w:rPr>
              <w:t xml:space="preserve">18.12 Project Approval </w:t>
            </w:r>
          </w:p>
          <w:p w14:paraId="526A6E41" w14:textId="77777777" w:rsidR="0057220C" w:rsidRPr="0057220C" w:rsidRDefault="0057220C" w:rsidP="0057220C">
            <w:pPr>
              <w:spacing w:after="0"/>
              <w:contextualSpacing/>
              <w:rPr>
                <w:color w:val="auto"/>
              </w:rPr>
            </w:pPr>
          </w:p>
          <w:p w14:paraId="5814A50E" w14:textId="77777777" w:rsidR="0057220C" w:rsidRPr="0057220C" w:rsidRDefault="0057220C" w:rsidP="0057220C">
            <w:pPr>
              <w:spacing w:after="0"/>
              <w:contextualSpacing/>
              <w:rPr>
                <w:color w:val="auto"/>
              </w:rPr>
            </w:pPr>
            <w:r w:rsidRPr="0057220C">
              <w:rPr>
                <w:color w:val="auto"/>
              </w:rPr>
              <w:sym w:font="Symbol" w:char="F0B7"/>
            </w:r>
            <w:r w:rsidRPr="0057220C">
              <w:rPr>
                <w:color w:val="auto"/>
              </w:rPr>
              <w:t xml:space="preserve"> Less than £185,000 – Head of Service or Executive Director </w:t>
            </w:r>
          </w:p>
          <w:p w14:paraId="2B0CE414" w14:textId="77777777" w:rsidR="0057220C" w:rsidRPr="0057220C" w:rsidRDefault="0057220C" w:rsidP="0057220C">
            <w:pPr>
              <w:spacing w:after="0"/>
              <w:contextualSpacing/>
              <w:rPr>
                <w:color w:val="auto"/>
              </w:rPr>
            </w:pPr>
            <w:r w:rsidRPr="0057220C">
              <w:rPr>
                <w:color w:val="auto"/>
              </w:rPr>
              <w:sym w:font="Symbol" w:char="F0B7"/>
            </w:r>
            <w:r w:rsidRPr="0057220C">
              <w:rPr>
                <w:color w:val="auto"/>
              </w:rPr>
              <w:t xml:space="preserve"> £185,000 up to £</w:t>
            </w:r>
            <w:r w:rsidRPr="00854E87">
              <w:rPr>
                <w:strike/>
                <w:color w:val="FF0000"/>
              </w:rPr>
              <w:t>500</w:t>
            </w:r>
            <w:r w:rsidRPr="00854E87">
              <w:rPr>
                <w:color w:val="FF0000"/>
              </w:rPr>
              <w:t>750</w:t>
            </w:r>
            <w:r w:rsidRPr="0057220C">
              <w:rPr>
                <w:color w:val="auto"/>
              </w:rPr>
              <w:t xml:space="preserve">,000 – Executive Director or Head of Financial Services in consultation with the Head of Paid Service and Monitoring Officer (and the Head of Financial Services where the decision to approve is being made by an Executive Director) </w:t>
            </w:r>
          </w:p>
          <w:p w14:paraId="28968C83" w14:textId="77777777" w:rsidR="0057220C" w:rsidRPr="0057220C" w:rsidRDefault="0057220C" w:rsidP="0057220C">
            <w:pPr>
              <w:spacing w:after="0"/>
              <w:contextualSpacing/>
              <w:rPr>
                <w:color w:val="auto"/>
              </w:rPr>
            </w:pPr>
            <w:r w:rsidRPr="0057220C">
              <w:rPr>
                <w:color w:val="auto"/>
              </w:rPr>
              <w:sym w:font="Symbol" w:char="F0B7"/>
            </w:r>
            <w:r w:rsidRPr="0057220C">
              <w:rPr>
                <w:color w:val="auto"/>
              </w:rPr>
              <w:t xml:space="preserve"> £</w:t>
            </w:r>
            <w:r w:rsidRPr="00854E87">
              <w:rPr>
                <w:strike/>
                <w:color w:val="FF0000"/>
              </w:rPr>
              <w:t>500</w:t>
            </w:r>
            <w:r w:rsidRPr="00854E87">
              <w:rPr>
                <w:color w:val="FF0000"/>
              </w:rPr>
              <w:t>750</w:t>
            </w:r>
            <w:r w:rsidRPr="0057220C">
              <w:rPr>
                <w:color w:val="auto"/>
              </w:rPr>
              <w:t>,000 and over – Cabinet</w:t>
            </w:r>
          </w:p>
        </w:tc>
        <w:tc>
          <w:tcPr>
            <w:tcW w:w="3602" w:type="dxa"/>
          </w:tcPr>
          <w:p w14:paraId="4D1C678E" w14:textId="4F3B3651" w:rsidR="0057220C" w:rsidRPr="0057220C" w:rsidRDefault="00944606" w:rsidP="0057220C">
            <w:pPr>
              <w:spacing w:after="0"/>
              <w:contextualSpacing/>
              <w:rPr>
                <w:color w:val="auto"/>
              </w:rPr>
            </w:pPr>
            <w:r>
              <w:rPr>
                <w:color w:val="auto"/>
              </w:rPr>
              <w:t xml:space="preserve">To reflect the proposed changes to the key decision definition and ensure that the </w:t>
            </w:r>
            <w:proofErr w:type="gramStart"/>
            <w:r>
              <w:rPr>
                <w:color w:val="auto"/>
              </w:rPr>
              <w:t>decision making</w:t>
            </w:r>
            <w:proofErr w:type="gramEnd"/>
            <w:r>
              <w:rPr>
                <w:color w:val="auto"/>
              </w:rPr>
              <w:t xml:space="preserve"> thresholds align with the scheme of delegation from Cabinet </w:t>
            </w:r>
          </w:p>
        </w:tc>
      </w:tr>
      <w:tr w:rsidR="0057220C" w:rsidRPr="0057220C" w14:paraId="5DF45CB1" w14:textId="392B5EA8" w:rsidTr="0057220C">
        <w:tc>
          <w:tcPr>
            <w:tcW w:w="5192" w:type="dxa"/>
            <w:gridSpan w:val="4"/>
          </w:tcPr>
          <w:p w14:paraId="3E6E77A3" w14:textId="77777777" w:rsidR="0057220C" w:rsidRPr="0057220C" w:rsidRDefault="0057220C" w:rsidP="0057220C">
            <w:pPr>
              <w:spacing w:after="0"/>
              <w:contextualSpacing/>
              <w:rPr>
                <w:color w:val="auto"/>
              </w:rPr>
            </w:pPr>
            <w:r w:rsidRPr="0057220C">
              <w:rPr>
                <w:color w:val="auto"/>
              </w:rPr>
              <w:t xml:space="preserve">18.21 </w:t>
            </w:r>
          </w:p>
          <w:p w14:paraId="2EF06CED" w14:textId="77777777" w:rsidR="0057220C" w:rsidRPr="0057220C" w:rsidRDefault="0057220C" w:rsidP="0057220C">
            <w:pPr>
              <w:spacing w:after="0"/>
              <w:contextualSpacing/>
              <w:rPr>
                <w:color w:val="auto"/>
              </w:rPr>
            </w:pPr>
          </w:p>
          <w:p w14:paraId="588F893A" w14:textId="77777777" w:rsidR="0057220C" w:rsidRPr="0057220C" w:rsidRDefault="0057220C" w:rsidP="0057220C">
            <w:pPr>
              <w:spacing w:after="0"/>
              <w:contextualSpacing/>
              <w:rPr>
                <w:color w:val="auto"/>
              </w:rPr>
            </w:pPr>
            <w:r w:rsidRPr="0057220C">
              <w:rPr>
                <w:color w:val="auto"/>
              </w:rPr>
              <w:t xml:space="preserve">All external funding applications for funding </w:t>
            </w:r>
            <w:proofErr w:type="gramStart"/>
            <w:r w:rsidRPr="0057220C">
              <w:rPr>
                <w:color w:val="auto"/>
              </w:rPr>
              <w:t>in excess of</w:t>
            </w:r>
            <w:proofErr w:type="gramEnd"/>
            <w:r w:rsidRPr="0057220C">
              <w:rPr>
                <w:color w:val="auto"/>
              </w:rPr>
              <w:t xml:space="preserve"> £100,000 must be authorised by the Head of Financial Services prior to their submission by the Authority. </w:t>
            </w:r>
            <w:r w:rsidRPr="00854E87">
              <w:rPr>
                <w:color w:val="FF0000"/>
              </w:rPr>
              <w:t xml:space="preserve">All external funding with a value of £750,000 or more will be a key decision and require Cabinet approval in advance of acceptance. </w:t>
            </w:r>
          </w:p>
          <w:p w14:paraId="15905AB4" w14:textId="77777777" w:rsidR="0057220C" w:rsidRPr="0057220C" w:rsidRDefault="0057220C" w:rsidP="0057220C">
            <w:pPr>
              <w:spacing w:after="0"/>
              <w:contextualSpacing/>
              <w:rPr>
                <w:color w:val="auto"/>
              </w:rPr>
            </w:pPr>
          </w:p>
        </w:tc>
        <w:tc>
          <w:tcPr>
            <w:tcW w:w="3602" w:type="dxa"/>
          </w:tcPr>
          <w:p w14:paraId="4FDB1E8F" w14:textId="6D10A17E" w:rsidR="0057220C" w:rsidRPr="0057220C" w:rsidRDefault="00944606" w:rsidP="0057220C">
            <w:pPr>
              <w:spacing w:after="0"/>
              <w:contextualSpacing/>
              <w:rPr>
                <w:color w:val="auto"/>
              </w:rPr>
            </w:pPr>
            <w:r>
              <w:rPr>
                <w:color w:val="auto"/>
              </w:rPr>
              <w:t xml:space="preserve">To reflect the proposed changes to the key decision definition and ensure that the </w:t>
            </w:r>
            <w:proofErr w:type="gramStart"/>
            <w:r>
              <w:rPr>
                <w:color w:val="auto"/>
              </w:rPr>
              <w:t>decision making</w:t>
            </w:r>
            <w:proofErr w:type="gramEnd"/>
            <w:r>
              <w:rPr>
                <w:color w:val="auto"/>
              </w:rPr>
              <w:t xml:space="preserve"> thresholds align with the scheme of delegation from Cabinet</w:t>
            </w:r>
          </w:p>
        </w:tc>
      </w:tr>
      <w:tr w:rsidR="0057220C" w:rsidRPr="0057220C" w14:paraId="2464F05A" w14:textId="1A607D3B" w:rsidTr="0057220C">
        <w:tc>
          <w:tcPr>
            <w:tcW w:w="5192" w:type="dxa"/>
            <w:gridSpan w:val="4"/>
          </w:tcPr>
          <w:p w14:paraId="0294E013" w14:textId="77777777" w:rsidR="0057220C" w:rsidRPr="0057220C" w:rsidRDefault="0057220C" w:rsidP="0057220C">
            <w:pPr>
              <w:spacing w:after="0"/>
              <w:contextualSpacing/>
              <w:rPr>
                <w:color w:val="auto"/>
              </w:rPr>
            </w:pPr>
            <w:r w:rsidRPr="0057220C">
              <w:rPr>
                <w:color w:val="auto"/>
              </w:rPr>
              <w:t>18.23 Loans and financial guarantees of over £250,000 to a company which is not wholly owned by the Council or other external organisation must have approval by the Cabinet and</w:t>
            </w:r>
            <w:r w:rsidRPr="00854E87">
              <w:rPr>
                <w:color w:val="FF0000"/>
              </w:rPr>
              <w:t xml:space="preserve">, where it is not within the approved budget, there must be approval of </w:t>
            </w:r>
            <w:r w:rsidRPr="0057220C">
              <w:rPr>
                <w:color w:val="auto"/>
              </w:rPr>
              <w:t>Council</w:t>
            </w:r>
            <w:r w:rsidRPr="0057220C">
              <w:rPr>
                <w:color w:val="auto"/>
              </w:rPr>
              <w:t xml:space="preserve"> </w:t>
            </w:r>
            <w:r w:rsidRPr="00854E87">
              <w:rPr>
                <w:color w:val="FF0000"/>
              </w:rPr>
              <w:t>to the budget allocation</w:t>
            </w:r>
            <w:r w:rsidRPr="0057220C">
              <w:rPr>
                <w:color w:val="auto"/>
              </w:rPr>
              <w:t>.</w:t>
            </w:r>
          </w:p>
        </w:tc>
        <w:tc>
          <w:tcPr>
            <w:tcW w:w="3602" w:type="dxa"/>
          </w:tcPr>
          <w:p w14:paraId="02B0FA48" w14:textId="7FE5F585" w:rsidR="0057220C" w:rsidRPr="0057220C" w:rsidRDefault="00944606" w:rsidP="0057220C">
            <w:pPr>
              <w:spacing w:after="0"/>
              <w:contextualSpacing/>
              <w:rPr>
                <w:color w:val="auto"/>
              </w:rPr>
            </w:pPr>
            <w:r>
              <w:rPr>
                <w:color w:val="auto"/>
              </w:rPr>
              <w:t xml:space="preserve">To make clear the restrictions on Cabinet’s </w:t>
            </w:r>
            <w:proofErr w:type="gramStart"/>
            <w:r>
              <w:rPr>
                <w:color w:val="auto"/>
              </w:rPr>
              <w:t>decision making</w:t>
            </w:r>
            <w:proofErr w:type="gramEnd"/>
            <w:r>
              <w:rPr>
                <w:color w:val="auto"/>
              </w:rPr>
              <w:t xml:space="preserve"> power and where Council must be the decision maker. </w:t>
            </w:r>
          </w:p>
        </w:tc>
      </w:tr>
    </w:tbl>
    <w:p w14:paraId="57B0DB18" w14:textId="13274420" w:rsidR="00290E94" w:rsidRDefault="00290E94" w:rsidP="00290E94">
      <w:pPr>
        <w:pStyle w:val="ListParagraph"/>
        <w:numPr>
          <w:ilvl w:val="0"/>
          <w:numId w:val="0"/>
        </w:numPr>
        <w:ind w:left="426"/>
      </w:pPr>
    </w:p>
    <w:p w14:paraId="4CC138F2" w14:textId="01AAD2F7" w:rsidR="005A0974" w:rsidRPr="00921A34" w:rsidRDefault="005A0974" w:rsidP="00290E94">
      <w:pPr>
        <w:pStyle w:val="ListParagraph"/>
        <w:numPr>
          <w:ilvl w:val="0"/>
          <w:numId w:val="0"/>
        </w:numPr>
        <w:ind w:left="426"/>
      </w:pPr>
    </w:p>
    <w:p w14:paraId="1B46416D" w14:textId="77777777" w:rsidR="0040736F" w:rsidRPr="001356F1" w:rsidRDefault="002329CF" w:rsidP="004A6D2F">
      <w:pPr>
        <w:pStyle w:val="Heading1"/>
      </w:pPr>
      <w:r w:rsidRPr="001356F1">
        <w:t>Financial implications</w:t>
      </w:r>
    </w:p>
    <w:p w14:paraId="1B46416E" w14:textId="2F0A2686" w:rsidR="00E87F7A" w:rsidRPr="001356F1" w:rsidRDefault="0002507A" w:rsidP="005570B5">
      <w:pPr>
        <w:pStyle w:val="ListParagraph"/>
      </w:pPr>
      <w:r>
        <w:t>These are covered within the report.</w:t>
      </w:r>
    </w:p>
    <w:p w14:paraId="1B46416F" w14:textId="77777777" w:rsidR="0040736F" w:rsidRPr="001356F1" w:rsidRDefault="00DA614B" w:rsidP="004A6D2F">
      <w:pPr>
        <w:pStyle w:val="Heading1"/>
      </w:pPr>
      <w:r w:rsidRPr="001356F1">
        <w:t>Legal issues</w:t>
      </w:r>
    </w:p>
    <w:p w14:paraId="1B464170" w14:textId="0C3A65DB" w:rsidR="00E87F7A" w:rsidRPr="001356F1" w:rsidRDefault="005E400B" w:rsidP="005570B5">
      <w:pPr>
        <w:pStyle w:val="ListParagraph"/>
      </w:pPr>
      <w:r>
        <w:t>These are covered within the report</w:t>
      </w:r>
      <w:r w:rsidR="00E87F7A" w:rsidRPr="001356F1">
        <w:t>.</w:t>
      </w:r>
    </w:p>
    <w:p w14:paraId="1B464171" w14:textId="77777777" w:rsidR="002329CF" w:rsidRPr="001356F1" w:rsidRDefault="002329CF" w:rsidP="004A6D2F">
      <w:pPr>
        <w:pStyle w:val="Heading1"/>
      </w:pPr>
      <w:r w:rsidRPr="001356F1">
        <w:lastRenderedPageBreak/>
        <w:t>Level of risk</w:t>
      </w:r>
    </w:p>
    <w:p w14:paraId="1B464172" w14:textId="1BE378A7" w:rsidR="00BC69A4" w:rsidRPr="001356F1" w:rsidRDefault="005E400B" w:rsidP="005570B5">
      <w:pPr>
        <w:pStyle w:val="ListParagraph"/>
      </w:pPr>
      <w:r>
        <w:t>Not applicable</w:t>
      </w:r>
      <w:r w:rsidR="0093067A" w:rsidRPr="001356F1">
        <w:t>.</w:t>
      </w:r>
    </w:p>
    <w:p w14:paraId="1B464173" w14:textId="77777777" w:rsidR="002329CF" w:rsidRPr="001356F1" w:rsidRDefault="002329CF" w:rsidP="0050321C">
      <w:pPr>
        <w:pStyle w:val="Heading1"/>
      </w:pPr>
      <w:r w:rsidRPr="001356F1">
        <w:t xml:space="preserve">Equalities impact </w:t>
      </w:r>
    </w:p>
    <w:p w14:paraId="1B464174" w14:textId="412E2395" w:rsidR="002329CF" w:rsidRPr="001356F1" w:rsidRDefault="005E400B" w:rsidP="005570B5">
      <w:pPr>
        <w:pStyle w:val="ListParagraph"/>
      </w:pPr>
      <w:r>
        <w:t>Not applicable</w:t>
      </w:r>
      <w:r w:rsidR="00E87F7A" w:rsidRPr="001356F1">
        <w:t>.</w:t>
      </w:r>
    </w:p>
    <w:p w14:paraId="1B464175" w14:textId="77777777" w:rsidR="00E87F7A" w:rsidRPr="001356F1" w:rsidRDefault="00E87F7A" w:rsidP="00E87F7A">
      <w:pPr>
        <w:pStyle w:val="Heading1"/>
      </w:pPr>
      <w:r w:rsidRPr="001356F1">
        <w:t>Conclusion</w:t>
      </w:r>
    </w:p>
    <w:p w14:paraId="1B464176" w14:textId="2250D04B" w:rsidR="00E206D6" w:rsidRPr="001356F1" w:rsidRDefault="005E400B" w:rsidP="00E206D6">
      <w:pPr>
        <w:pStyle w:val="ListParagraph"/>
      </w:pPr>
      <w:r>
        <w:t xml:space="preserve">Council </w:t>
      </w:r>
      <w:proofErr w:type="gramStart"/>
      <w:r>
        <w:t>are</w:t>
      </w:r>
      <w:proofErr w:type="gramEnd"/>
      <w:r>
        <w:t xml:space="preserve"> asked to approve the amendments proposed to the Constitution in order that the decision making process reflects legislative pro</w:t>
      </w:r>
      <w:r w:rsidR="00DA4D86">
        <w:t>visions and to ensure clear operational direction on decision making requirements</w:t>
      </w:r>
      <w:r w:rsidR="00E87F7A" w:rsidRPr="001356F1">
        <w:t>.</w:t>
      </w:r>
    </w:p>
    <w:p w14:paraId="1B464177" w14:textId="77777777"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14:paraId="1B46417A" w14:textId="77777777"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1B464178" w14:textId="77777777" w:rsidR="00E87F7A" w:rsidRPr="001356F1" w:rsidRDefault="00E87F7A" w:rsidP="00A46E98">
            <w:pPr>
              <w:rPr>
                <w:b/>
              </w:rPr>
            </w:pPr>
            <w:r w:rsidRPr="001356F1">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1B464179" w14:textId="645F66B8" w:rsidR="00E87F7A" w:rsidRPr="001356F1" w:rsidRDefault="0002507A" w:rsidP="00A46E98">
            <w:r>
              <w:t>Emma Jackman</w:t>
            </w:r>
          </w:p>
        </w:tc>
      </w:tr>
      <w:tr w:rsidR="00DF093E" w:rsidRPr="001356F1" w14:paraId="1B46417D" w14:textId="77777777" w:rsidTr="00A46E98">
        <w:trPr>
          <w:cantSplit/>
          <w:trHeight w:val="396"/>
        </w:trPr>
        <w:tc>
          <w:tcPr>
            <w:tcW w:w="3969" w:type="dxa"/>
            <w:tcBorders>
              <w:top w:val="single" w:sz="8" w:space="0" w:color="000000"/>
              <w:left w:val="single" w:sz="8" w:space="0" w:color="000000"/>
              <w:bottom w:val="nil"/>
              <w:right w:val="nil"/>
            </w:tcBorders>
            <w:shd w:val="clear" w:color="auto" w:fill="auto"/>
          </w:tcPr>
          <w:p w14:paraId="1B46417B" w14:textId="77777777"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14:paraId="1B46417C" w14:textId="3A1C524E" w:rsidR="00E87F7A" w:rsidRPr="001356F1" w:rsidRDefault="0002507A" w:rsidP="00A46E98">
            <w:r>
              <w:t>Head of Law and Governance</w:t>
            </w:r>
            <w:r w:rsidR="00DA4D86">
              <w:t xml:space="preserve"> </w:t>
            </w:r>
          </w:p>
        </w:tc>
      </w:tr>
      <w:tr w:rsidR="00DF093E" w:rsidRPr="001356F1" w14:paraId="1B464180" w14:textId="77777777" w:rsidTr="00A46E98">
        <w:trPr>
          <w:cantSplit/>
          <w:trHeight w:val="396"/>
        </w:trPr>
        <w:tc>
          <w:tcPr>
            <w:tcW w:w="3969" w:type="dxa"/>
            <w:tcBorders>
              <w:top w:val="nil"/>
              <w:left w:val="single" w:sz="8" w:space="0" w:color="000000"/>
              <w:bottom w:val="nil"/>
              <w:right w:val="nil"/>
            </w:tcBorders>
            <w:shd w:val="clear" w:color="auto" w:fill="auto"/>
          </w:tcPr>
          <w:p w14:paraId="1B46417E" w14:textId="77777777"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14:paraId="1B46417F" w14:textId="1577331A" w:rsidR="00E87F7A" w:rsidRPr="001356F1" w:rsidRDefault="00DA4D86" w:rsidP="00A46E98">
            <w:r>
              <w:t xml:space="preserve">Law &amp; Governance  </w:t>
            </w:r>
          </w:p>
        </w:tc>
      </w:tr>
      <w:tr w:rsidR="005570B5" w:rsidRPr="001356F1" w14:paraId="1B464186" w14:textId="77777777" w:rsidTr="00A46E98">
        <w:trPr>
          <w:cantSplit/>
          <w:trHeight w:val="396"/>
        </w:trPr>
        <w:tc>
          <w:tcPr>
            <w:tcW w:w="3969" w:type="dxa"/>
            <w:tcBorders>
              <w:top w:val="nil"/>
              <w:left w:val="single" w:sz="8" w:space="0" w:color="000000"/>
              <w:bottom w:val="single" w:sz="8" w:space="0" w:color="000000"/>
              <w:right w:val="nil"/>
            </w:tcBorders>
            <w:shd w:val="clear" w:color="auto" w:fill="auto"/>
          </w:tcPr>
          <w:p w14:paraId="1B464184" w14:textId="77777777"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14:paraId="1B464185" w14:textId="082CF5EA" w:rsidR="00E87F7A" w:rsidRPr="001356F1" w:rsidRDefault="00DA4D86" w:rsidP="00A46E98">
            <w:pPr>
              <w:rPr>
                <w:rStyle w:val="Hyperlink"/>
                <w:color w:val="000000"/>
              </w:rPr>
            </w:pPr>
            <w:r>
              <w:rPr>
                <w:rStyle w:val="Hyperlink"/>
                <w:color w:val="000000"/>
              </w:rPr>
              <w:t>ejackman@oxford.gov.uk</w:t>
            </w:r>
          </w:p>
        </w:tc>
      </w:tr>
    </w:tbl>
    <w:p w14:paraId="1B464187" w14:textId="77777777"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DF093E" w:rsidRPr="001356F1" w14:paraId="1B464189" w14:textId="77777777" w:rsidTr="00A46E98">
        <w:tc>
          <w:tcPr>
            <w:tcW w:w="8931" w:type="dxa"/>
            <w:gridSpan w:val="2"/>
            <w:tcBorders>
              <w:top w:val="single" w:sz="4" w:space="0" w:color="auto"/>
              <w:left w:val="single" w:sz="4" w:space="0" w:color="auto"/>
              <w:bottom w:val="single" w:sz="8" w:space="0" w:color="000000"/>
              <w:right w:val="single" w:sz="4" w:space="0" w:color="auto"/>
            </w:tcBorders>
            <w:shd w:val="clear" w:color="auto" w:fill="auto"/>
          </w:tcPr>
          <w:p w14:paraId="1B464188" w14:textId="77777777" w:rsidR="0093067A" w:rsidRPr="001356F1" w:rsidRDefault="00182B81" w:rsidP="00F41AC1">
            <w:r w:rsidRPr="001356F1">
              <w:rPr>
                <w:rStyle w:val="Firstpagetablebold"/>
              </w:rPr>
              <w:t xml:space="preserve">Background Papers: </w:t>
            </w:r>
            <w:r w:rsidRPr="001356F1">
              <w:rPr>
                <w:rStyle w:val="Firstpagetablebold"/>
                <w:b w:val="0"/>
              </w:rPr>
              <w:t>None</w:t>
            </w:r>
          </w:p>
        </w:tc>
      </w:tr>
      <w:tr w:rsidR="00DF093E" w:rsidRPr="001356F1" w14:paraId="1B46418C" w14:textId="77777777" w:rsidTr="00A46E98">
        <w:tc>
          <w:tcPr>
            <w:tcW w:w="567" w:type="dxa"/>
            <w:tcBorders>
              <w:top w:val="single" w:sz="8" w:space="0" w:color="000000"/>
              <w:left w:val="single" w:sz="8" w:space="0" w:color="000000"/>
              <w:bottom w:val="nil"/>
              <w:right w:val="nil"/>
            </w:tcBorders>
            <w:shd w:val="clear" w:color="auto" w:fill="auto"/>
          </w:tcPr>
          <w:p w14:paraId="1B46418A" w14:textId="77777777" w:rsidR="0093067A" w:rsidRPr="001356F1" w:rsidRDefault="00182B81" w:rsidP="00F41AC1">
            <w:r w:rsidRPr="001356F1">
              <w:t>1</w:t>
            </w:r>
          </w:p>
        </w:tc>
        <w:tc>
          <w:tcPr>
            <w:tcW w:w="8364" w:type="dxa"/>
            <w:tcBorders>
              <w:top w:val="single" w:sz="8" w:space="0" w:color="000000"/>
              <w:left w:val="nil"/>
              <w:bottom w:val="nil"/>
              <w:right w:val="single" w:sz="8" w:space="0" w:color="000000"/>
            </w:tcBorders>
          </w:tcPr>
          <w:p w14:paraId="1B46418B" w14:textId="42CDDA35" w:rsidR="0093067A" w:rsidRPr="001356F1" w:rsidRDefault="00DA4D86" w:rsidP="005D0621">
            <w:r>
              <w:t xml:space="preserve">Council’s Constitution </w:t>
            </w:r>
          </w:p>
        </w:tc>
      </w:tr>
      <w:tr w:rsidR="00DF093E" w:rsidRPr="001356F1" w14:paraId="1B46418F" w14:textId="77777777" w:rsidTr="00A46E98">
        <w:tc>
          <w:tcPr>
            <w:tcW w:w="567" w:type="dxa"/>
            <w:tcBorders>
              <w:top w:val="nil"/>
              <w:left w:val="single" w:sz="8" w:space="0" w:color="000000"/>
              <w:bottom w:val="nil"/>
              <w:right w:val="nil"/>
            </w:tcBorders>
            <w:shd w:val="clear" w:color="auto" w:fill="auto"/>
          </w:tcPr>
          <w:p w14:paraId="1B46418D" w14:textId="77777777" w:rsidR="0093067A" w:rsidRPr="001356F1" w:rsidRDefault="00182B81" w:rsidP="00F41AC1">
            <w:r w:rsidRPr="001356F1">
              <w:t>2</w:t>
            </w:r>
          </w:p>
        </w:tc>
        <w:tc>
          <w:tcPr>
            <w:tcW w:w="8364" w:type="dxa"/>
            <w:tcBorders>
              <w:top w:val="nil"/>
              <w:left w:val="nil"/>
              <w:bottom w:val="nil"/>
              <w:right w:val="single" w:sz="8" w:space="0" w:color="000000"/>
            </w:tcBorders>
          </w:tcPr>
          <w:p w14:paraId="1B46418E" w14:textId="3438513A" w:rsidR="0093067A" w:rsidRPr="001356F1" w:rsidRDefault="00DA4D86" w:rsidP="00F41AC1">
            <w:r>
              <w:t xml:space="preserve">Procurement Act 2023 </w:t>
            </w:r>
          </w:p>
        </w:tc>
      </w:tr>
      <w:tr w:rsidR="005570B5" w:rsidRPr="00A46E98" w14:paraId="1B464195" w14:textId="77777777" w:rsidTr="00A46E98">
        <w:tc>
          <w:tcPr>
            <w:tcW w:w="567" w:type="dxa"/>
            <w:tcBorders>
              <w:top w:val="nil"/>
              <w:left w:val="single" w:sz="8" w:space="0" w:color="000000"/>
              <w:bottom w:val="single" w:sz="8" w:space="0" w:color="000000"/>
              <w:right w:val="nil"/>
            </w:tcBorders>
            <w:shd w:val="clear" w:color="auto" w:fill="auto"/>
          </w:tcPr>
          <w:p w14:paraId="1B464193" w14:textId="7B90EBE6" w:rsidR="0093067A" w:rsidRPr="00A46E98" w:rsidRDefault="00DA4D86" w:rsidP="00F41AC1">
            <w:r>
              <w:t>3</w:t>
            </w:r>
          </w:p>
        </w:tc>
        <w:tc>
          <w:tcPr>
            <w:tcW w:w="8364" w:type="dxa"/>
            <w:tcBorders>
              <w:top w:val="nil"/>
              <w:left w:val="nil"/>
              <w:bottom w:val="single" w:sz="8" w:space="0" w:color="000000"/>
              <w:right w:val="single" w:sz="8" w:space="0" w:color="000000"/>
            </w:tcBorders>
          </w:tcPr>
          <w:p w14:paraId="1B464194" w14:textId="02DB440C" w:rsidR="0093067A" w:rsidRPr="00DA4D86" w:rsidRDefault="00DA4D86" w:rsidP="00F41AC1">
            <w:r w:rsidRPr="00DA4D86">
              <w:rPr>
                <w:rFonts w:cs="Arial"/>
                <w:color w:val="000000" w:themeColor="text1"/>
                <w:bdr w:val="none" w:sz="0" w:space="0" w:color="auto" w:frame="1"/>
              </w:rPr>
              <w:t>Local Authorities (Functions and Responsibilities) (England) Regulations 2000</w:t>
            </w:r>
          </w:p>
        </w:tc>
      </w:tr>
    </w:tbl>
    <w:p w14:paraId="1B464196" w14:textId="77777777" w:rsidR="00CE4C87" w:rsidRDefault="00CE4C87" w:rsidP="0093067A"/>
    <w:p w14:paraId="1B4641B4" w14:textId="77777777" w:rsidR="00821AAF" w:rsidRPr="009E51FC" w:rsidRDefault="00821AAF" w:rsidP="0093067A"/>
    <w:sectPr w:rsidR="00821AAF" w:rsidRPr="009E51FC" w:rsidSect="00B558E1">
      <w:footerReference w:type="even" r:id="rId11"/>
      <w:headerReference w:type="first" r:id="rId12"/>
      <w:footerReference w:type="first" r:id="rId13"/>
      <w:pgSz w:w="11906" w:h="16838" w:code="9"/>
      <w:pgMar w:top="1304" w:right="1304" w:bottom="1304"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E512" w14:textId="77777777" w:rsidR="007F2593" w:rsidRDefault="007F2593" w:rsidP="004A6D2F">
      <w:r>
        <w:separator/>
      </w:r>
    </w:p>
  </w:endnote>
  <w:endnote w:type="continuationSeparator" w:id="0">
    <w:p w14:paraId="03A93FEC" w14:textId="77777777" w:rsidR="007F2593" w:rsidRDefault="007F2593"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41B9" w14:textId="77777777" w:rsidR="00364FAD" w:rsidRDefault="00364FAD" w:rsidP="004A6D2F">
    <w:pPr>
      <w:pStyle w:val="Footer"/>
    </w:pPr>
    <w:r>
      <w:t>Do not use a footer or page numbers.</w:t>
    </w:r>
  </w:p>
  <w:p w14:paraId="1B4641BA" w14:textId="77777777" w:rsidR="00364FAD" w:rsidRDefault="00364FAD" w:rsidP="004A6D2F">
    <w:pPr>
      <w:pStyle w:val="Footer"/>
    </w:pPr>
  </w:p>
  <w:p w14:paraId="1B4641BB" w14:textId="77777777" w:rsidR="00364FAD" w:rsidRDefault="00364FAD"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41BD" w14:textId="77777777" w:rsidR="00A701B5" w:rsidRDefault="00745BF0"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8871" w14:textId="77777777" w:rsidR="007F2593" w:rsidRDefault="007F2593" w:rsidP="004A6D2F">
      <w:r>
        <w:separator/>
      </w:r>
    </w:p>
  </w:footnote>
  <w:footnote w:type="continuationSeparator" w:id="0">
    <w:p w14:paraId="64EF07EA" w14:textId="77777777" w:rsidR="007F2593" w:rsidRDefault="007F2593" w:rsidP="004A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41BC" w14:textId="77777777" w:rsidR="00D5547E" w:rsidRDefault="00DD2FED" w:rsidP="00D5547E">
    <w:pPr>
      <w:pStyle w:val="Header"/>
      <w:jc w:val="right"/>
    </w:pPr>
    <w:r>
      <w:rPr>
        <w:noProof/>
      </w:rPr>
      <w:drawing>
        <wp:inline distT="0" distB="0" distL="0" distR="0" wp14:anchorId="1B4641BE" wp14:editId="1B4641BF">
          <wp:extent cx="843280" cy="1117600"/>
          <wp:effectExtent l="0" t="0" r="0" b="6350"/>
          <wp:docPr id="1" name="Picture 1" descr="Oxford City Council Logo"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E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70EF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B46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A3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88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9C05EF"/>
    <w:multiLevelType w:val="multilevel"/>
    <w:tmpl w:val="43D6D2FA"/>
    <w:numStyleLink w:val="StyleBulletedSymbolsymbolLeft063cmHanging063cm"/>
  </w:abstractNum>
  <w:abstractNum w:abstractNumId="13" w15:restartNumberingAfterBreak="0">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BB12E4"/>
    <w:multiLevelType w:val="multilevel"/>
    <w:tmpl w:val="B626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2263A6A"/>
    <w:multiLevelType w:val="multilevel"/>
    <w:tmpl w:val="43D6D2FA"/>
    <w:numStyleLink w:val="StyleBulletedSymbolsymbolLeft063cmHanging063cm"/>
  </w:abstractNum>
  <w:abstractNum w:abstractNumId="19" w15:restartNumberingAfterBreak="0">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BA5FD8"/>
    <w:multiLevelType w:val="multilevel"/>
    <w:tmpl w:val="43D6D2FA"/>
    <w:numStyleLink w:val="StyleBulletedSymbolsymbolLeft063cmHanging063cm"/>
  </w:abstractNum>
  <w:abstractNum w:abstractNumId="28" w15:restartNumberingAfterBreak="0">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A22831"/>
    <w:multiLevelType w:val="multilevel"/>
    <w:tmpl w:val="43D6D2FA"/>
    <w:numStyleLink w:val="StyleBulletedSymbolsymbolLeft063cmHanging063cm"/>
  </w:abstractNum>
  <w:abstractNum w:abstractNumId="30" w15:restartNumberingAfterBreak="0">
    <w:nsid w:val="668F40BC"/>
    <w:multiLevelType w:val="hybridMultilevel"/>
    <w:tmpl w:val="7EF057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0F7AFC"/>
    <w:multiLevelType w:val="hybridMultilevel"/>
    <w:tmpl w:val="EBBC10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98365C6"/>
    <w:multiLevelType w:val="multilevel"/>
    <w:tmpl w:val="E67CE66C"/>
    <w:numStyleLink w:val="StyleNumberedLeft0cmHanging075cm"/>
  </w:abstractNum>
  <w:num w:numId="1" w16cid:durableId="1993485574">
    <w:abstractNumId w:val="26"/>
  </w:num>
  <w:num w:numId="2" w16cid:durableId="1107776791">
    <w:abstractNumId w:val="33"/>
  </w:num>
  <w:num w:numId="3" w16cid:durableId="1824158512">
    <w:abstractNumId w:val="23"/>
  </w:num>
  <w:num w:numId="4" w16cid:durableId="884676844">
    <w:abstractNumId w:val="19"/>
  </w:num>
  <w:num w:numId="5" w16cid:durableId="766585092">
    <w:abstractNumId w:val="28"/>
  </w:num>
  <w:num w:numId="6" w16cid:durableId="1656684613">
    <w:abstractNumId w:val="34"/>
  </w:num>
  <w:num w:numId="7" w16cid:durableId="823357845">
    <w:abstractNumId w:val="22"/>
  </w:num>
  <w:num w:numId="8" w16cid:durableId="811868429">
    <w:abstractNumId w:val="20"/>
  </w:num>
  <w:num w:numId="9" w16cid:durableId="1346402426">
    <w:abstractNumId w:val="13"/>
  </w:num>
  <w:num w:numId="10" w16cid:durableId="808744313">
    <w:abstractNumId w:val="16"/>
  </w:num>
  <w:num w:numId="11" w16cid:durableId="163011588">
    <w:abstractNumId w:val="25"/>
  </w:num>
  <w:num w:numId="12" w16cid:durableId="1366831692">
    <w:abstractNumId w:val="24"/>
  </w:num>
  <w:num w:numId="13" w16cid:durableId="847216558">
    <w:abstractNumId w:val="10"/>
  </w:num>
  <w:num w:numId="14" w16cid:durableId="299966372">
    <w:abstractNumId w:val="35"/>
  </w:num>
  <w:num w:numId="15" w16cid:durableId="1326930247">
    <w:abstractNumId w:val="17"/>
  </w:num>
  <w:num w:numId="16" w16cid:durableId="187524775">
    <w:abstractNumId w:val="11"/>
  </w:num>
  <w:num w:numId="17" w16cid:durableId="1140348097">
    <w:abstractNumId w:val="27"/>
  </w:num>
  <w:num w:numId="18" w16cid:durableId="631862188">
    <w:abstractNumId w:val="12"/>
  </w:num>
  <w:num w:numId="19" w16cid:durableId="1913923818">
    <w:abstractNumId w:val="29"/>
  </w:num>
  <w:num w:numId="20" w16cid:durableId="120000819">
    <w:abstractNumId w:val="18"/>
  </w:num>
  <w:num w:numId="21" w16cid:durableId="1831368928">
    <w:abstractNumId w:val="21"/>
  </w:num>
  <w:num w:numId="22" w16cid:durableId="1615475904">
    <w:abstractNumId w:val="14"/>
  </w:num>
  <w:num w:numId="23" w16cid:durableId="1633250992">
    <w:abstractNumId w:val="31"/>
  </w:num>
  <w:num w:numId="24" w16cid:durableId="648022851">
    <w:abstractNumId w:val="9"/>
  </w:num>
  <w:num w:numId="25" w16cid:durableId="2028947666">
    <w:abstractNumId w:val="8"/>
  </w:num>
  <w:num w:numId="26" w16cid:durableId="398022591">
    <w:abstractNumId w:val="7"/>
  </w:num>
  <w:num w:numId="27" w16cid:durableId="287859794">
    <w:abstractNumId w:val="6"/>
  </w:num>
  <w:num w:numId="28" w16cid:durableId="1805076246">
    <w:abstractNumId w:val="5"/>
  </w:num>
  <w:num w:numId="29" w16cid:durableId="1714767310">
    <w:abstractNumId w:val="4"/>
  </w:num>
  <w:num w:numId="30" w16cid:durableId="673604615">
    <w:abstractNumId w:val="3"/>
  </w:num>
  <w:num w:numId="31" w16cid:durableId="1499272415">
    <w:abstractNumId w:val="2"/>
  </w:num>
  <w:num w:numId="32" w16cid:durableId="1117138956">
    <w:abstractNumId w:val="1"/>
  </w:num>
  <w:num w:numId="33" w16cid:durableId="681131216">
    <w:abstractNumId w:val="0"/>
  </w:num>
  <w:num w:numId="34" w16cid:durableId="428040187">
    <w:abstractNumId w:val="32"/>
  </w:num>
  <w:num w:numId="35" w16cid:durableId="284893038">
    <w:abstractNumId w:val="30"/>
  </w:num>
  <w:num w:numId="36" w16cid:durableId="121927808">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92"/>
    <w:rsid w:val="000117D4"/>
    <w:rsid w:val="00023E99"/>
    <w:rsid w:val="0002507A"/>
    <w:rsid w:val="0003570E"/>
    <w:rsid w:val="00042DAD"/>
    <w:rsid w:val="00045F8B"/>
    <w:rsid w:val="00046D2B"/>
    <w:rsid w:val="000520C7"/>
    <w:rsid w:val="00056263"/>
    <w:rsid w:val="00064D8A"/>
    <w:rsid w:val="00064F82"/>
    <w:rsid w:val="00066510"/>
    <w:rsid w:val="00077523"/>
    <w:rsid w:val="000917A8"/>
    <w:rsid w:val="000C089F"/>
    <w:rsid w:val="000C3928"/>
    <w:rsid w:val="000C5E8E"/>
    <w:rsid w:val="000E56BD"/>
    <w:rsid w:val="000F4751"/>
    <w:rsid w:val="0010524C"/>
    <w:rsid w:val="00111FB1"/>
    <w:rsid w:val="00113418"/>
    <w:rsid w:val="001356F1"/>
    <w:rsid w:val="00136994"/>
    <w:rsid w:val="0014128E"/>
    <w:rsid w:val="00151888"/>
    <w:rsid w:val="00170A2D"/>
    <w:rsid w:val="001808BC"/>
    <w:rsid w:val="00182B81"/>
    <w:rsid w:val="0018619D"/>
    <w:rsid w:val="001A011E"/>
    <w:rsid w:val="001A066A"/>
    <w:rsid w:val="001A13E6"/>
    <w:rsid w:val="001A5731"/>
    <w:rsid w:val="001B42C3"/>
    <w:rsid w:val="001C5D5E"/>
    <w:rsid w:val="001D678D"/>
    <w:rsid w:val="001E03F8"/>
    <w:rsid w:val="001E3376"/>
    <w:rsid w:val="002069B3"/>
    <w:rsid w:val="002329CF"/>
    <w:rsid w:val="00232F5B"/>
    <w:rsid w:val="00247C29"/>
    <w:rsid w:val="00260467"/>
    <w:rsid w:val="00263EA3"/>
    <w:rsid w:val="00284F85"/>
    <w:rsid w:val="00290915"/>
    <w:rsid w:val="00290E94"/>
    <w:rsid w:val="002A22E2"/>
    <w:rsid w:val="002C64F7"/>
    <w:rsid w:val="002F41F2"/>
    <w:rsid w:val="00301BF3"/>
    <w:rsid w:val="0030208D"/>
    <w:rsid w:val="00323418"/>
    <w:rsid w:val="003357BF"/>
    <w:rsid w:val="00344C06"/>
    <w:rsid w:val="00345DA7"/>
    <w:rsid w:val="00364FAD"/>
    <w:rsid w:val="0036738F"/>
    <w:rsid w:val="0036759C"/>
    <w:rsid w:val="00367AE5"/>
    <w:rsid w:val="00367D71"/>
    <w:rsid w:val="0038150A"/>
    <w:rsid w:val="003B6E75"/>
    <w:rsid w:val="003D0379"/>
    <w:rsid w:val="003D2574"/>
    <w:rsid w:val="003D4C59"/>
    <w:rsid w:val="003F4267"/>
    <w:rsid w:val="00404032"/>
    <w:rsid w:val="0040736F"/>
    <w:rsid w:val="00411FEE"/>
    <w:rsid w:val="00412C1F"/>
    <w:rsid w:val="00415636"/>
    <w:rsid w:val="00421CB2"/>
    <w:rsid w:val="004268B9"/>
    <w:rsid w:val="004304CC"/>
    <w:rsid w:val="00433B96"/>
    <w:rsid w:val="004440F1"/>
    <w:rsid w:val="004456DD"/>
    <w:rsid w:val="00446CDF"/>
    <w:rsid w:val="004521B7"/>
    <w:rsid w:val="00462AB5"/>
    <w:rsid w:val="0046462A"/>
    <w:rsid w:val="00465EAF"/>
    <w:rsid w:val="004738C5"/>
    <w:rsid w:val="00491046"/>
    <w:rsid w:val="00496FAD"/>
    <w:rsid w:val="004A2AC7"/>
    <w:rsid w:val="004A5337"/>
    <w:rsid w:val="004A6D2F"/>
    <w:rsid w:val="004B348B"/>
    <w:rsid w:val="004C2887"/>
    <w:rsid w:val="004D2626"/>
    <w:rsid w:val="004D6E26"/>
    <w:rsid w:val="004D77D3"/>
    <w:rsid w:val="004E2959"/>
    <w:rsid w:val="004F20EF"/>
    <w:rsid w:val="0050321C"/>
    <w:rsid w:val="005415FC"/>
    <w:rsid w:val="0054712D"/>
    <w:rsid w:val="00547EF6"/>
    <w:rsid w:val="005570B5"/>
    <w:rsid w:val="00560E83"/>
    <w:rsid w:val="00567E18"/>
    <w:rsid w:val="0057220C"/>
    <w:rsid w:val="00575F5F"/>
    <w:rsid w:val="00581805"/>
    <w:rsid w:val="00585F76"/>
    <w:rsid w:val="005A0974"/>
    <w:rsid w:val="005A2220"/>
    <w:rsid w:val="005A34E4"/>
    <w:rsid w:val="005B17F2"/>
    <w:rsid w:val="005B6C41"/>
    <w:rsid w:val="005B7FB0"/>
    <w:rsid w:val="005C35A5"/>
    <w:rsid w:val="005C577C"/>
    <w:rsid w:val="005D0621"/>
    <w:rsid w:val="005D1E27"/>
    <w:rsid w:val="005E022E"/>
    <w:rsid w:val="005E400B"/>
    <w:rsid w:val="005E5215"/>
    <w:rsid w:val="005F7F7E"/>
    <w:rsid w:val="00614693"/>
    <w:rsid w:val="00623C2F"/>
    <w:rsid w:val="006272E6"/>
    <w:rsid w:val="00632A88"/>
    <w:rsid w:val="00633578"/>
    <w:rsid w:val="00637068"/>
    <w:rsid w:val="00650811"/>
    <w:rsid w:val="00661D3E"/>
    <w:rsid w:val="006634E8"/>
    <w:rsid w:val="00680099"/>
    <w:rsid w:val="006823FC"/>
    <w:rsid w:val="00692627"/>
    <w:rsid w:val="006969E7"/>
    <w:rsid w:val="006A3643"/>
    <w:rsid w:val="006C2A29"/>
    <w:rsid w:val="006C4CBC"/>
    <w:rsid w:val="006C64CF"/>
    <w:rsid w:val="006D17B1"/>
    <w:rsid w:val="006D708A"/>
    <w:rsid w:val="006E14C1"/>
    <w:rsid w:val="006F0292"/>
    <w:rsid w:val="006F416B"/>
    <w:rsid w:val="006F4DC3"/>
    <w:rsid w:val="006F510D"/>
    <w:rsid w:val="006F519B"/>
    <w:rsid w:val="00713675"/>
    <w:rsid w:val="00715823"/>
    <w:rsid w:val="00737B93"/>
    <w:rsid w:val="00745BF0"/>
    <w:rsid w:val="00753F6A"/>
    <w:rsid w:val="007615FE"/>
    <w:rsid w:val="0076314D"/>
    <w:rsid w:val="00764E6F"/>
    <w:rsid w:val="0076655C"/>
    <w:rsid w:val="007742DC"/>
    <w:rsid w:val="00791437"/>
    <w:rsid w:val="007B0C2C"/>
    <w:rsid w:val="007B278E"/>
    <w:rsid w:val="007C1201"/>
    <w:rsid w:val="007C5C23"/>
    <w:rsid w:val="007C70C3"/>
    <w:rsid w:val="007E2A26"/>
    <w:rsid w:val="007F2348"/>
    <w:rsid w:val="007F2593"/>
    <w:rsid w:val="007F548F"/>
    <w:rsid w:val="00803F07"/>
    <w:rsid w:val="0080749A"/>
    <w:rsid w:val="00821AAF"/>
    <w:rsid w:val="00821FB8"/>
    <w:rsid w:val="00822ACD"/>
    <w:rsid w:val="00854E87"/>
    <w:rsid w:val="00855144"/>
    <w:rsid w:val="00855C66"/>
    <w:rsid w:val="00867976"/>
    <w:rsid w:val="00871EE4"/>
    <w:rsid w:val="008B293F"/>
    <w:rsid w:val="008B7371"/>
    <w:rsid w:val="008C1CB8"/>
    <w:rsid w:val="008D3DDB"/>
    <w:rsid w:val="008F573F"/>
    <w:rsid w:val="009034EC"/>
    <w:rsid w:val="00921A34"/>
    <w:rsid w:val="0093067A"/>
    <w:rsid w:val="00941C60"/>
    <w:rsid w:val="00944606"/>
    <w:rsid w:val="00966D42"/>
    <w:rsid w:val="00971689"/>
    <w:rsid w:val="00973E90"/>
    <w:rsid w:val="00975B07"/>
    <w:rsid w:val="00980B4A"/>
    <w:rsid w:val="009877CD"/>
    <w:rsid w:val="009A2AC9"/>
    <w:rsid w:val="009C2200"/>
    <w:rsid w:val="009E3D0A"/>
    <w:rsid w:val="009E51FC"/>
    <w:rsid w:val="009F1D28"/>
    <w:rsid w:val="009F4406"/>
    <w:rsid w:val="009F7618"/>
    <w:rsid w:val="00A04D23"/>
    <w:rsid w:val="00A06766"/>
    <w:rsid w:val="00A13765"/>
    <w:rsid w:val="00A1405B"/>
    <w:rsid w:val="00A21B12"/>
    <w:rsid w:val="00A23F80"/>
    <w:rsid w:val="00A409E1"/>
    <w:rsid w:val="00A44635"/>
    <w:rsid w:val="00A4548E"/>
    <w:rsid w:val="00A46E98"/>
    <w:rsid w:val="00A6352B"/>
    <w:rsid w:val="00A701B5"/>
    <w:rsid w:val="00A714BB"/>
    <w:rsid w:val="00A92D8F"/>
    <w:rsid w:val="00A97533"/>
    <w:rsid w:val="00AB2988"/>
    <w:rsid w:val="00AB67B2"/>
    <w:rsid w:val="00AB7999"/>
    <w:rsid w:val="00AD07E1"/>
    <w:rsid w:val="00AD3292"/>
    <w:rsid w:val="00AD47E4"/>
    <w:rsid w:val="00AE7AF0"/>
    <w:rsid w:val="00AF677D"/>
    <w:rsid w:val="00B500CA"/>
    <w:rsid w:val="00B524FA"/>
    <w:rsid w:val="00B558E1"/>
    <w:rsid w:val="00B7799F"/>
    <w:rsid w:val="00B86314"/>
    <w:rsid w:val="00BA1C2E"/>
    <w:rsid w:val="00BA5786"/>
    <w:rsid w:val="00BC200B"/>
    <w:rsid w:val="00BC4756"/>
    <w:rsid w:val="00BC69A4"/>
    <w:rsid w:val="00BE0680"/>
    <w:rsid w:val="00BE305F"/>
    <w:rsid w:val="00BE638C"/>
    <w:rsid w:val="00BE7BA3"/>
    <w:rsid w:val="00BF5682"/>
    <w:rsid w:val="00BF7B09"/>
    <w:rsid w:val="00C20A95"/>
    <w:rsid w:val="00C2692F"/>
    <w:rsid w:val="00C3207C"/>
    <w:rsid w:val="00C400E1"/>
    <w:rsid w:val="00C41187"/>
    <w:rsid w:val="00C566A8"/>
    <w:rsid w:val="00C63C31"/>
    <w:rsid w:val="00C757A0"/>
    <w:rsid w:val="00C760DE"/>
    <w:rsid w:val="00C82630"/>
    <w:rsid w:val="00C85B4E"/>
    <w:rsid w:val="00C907F7"/>
    <w:rsid w:val="00CA2103"/>
    <w:rsid w:val="00CA6177"/>
    <w:rsid w:val="00CB6B99"/>
    <w:rsid w:val="00CC0428"/>
    <w:rsid w:val="00CC2F5D"/>
    <w:rsid w:val="00CD4BDD"/>
    <w:rsid w:val="00CE4C87"/>
    <w:rsid w:val="00CE544A"/>
    <w:rsid w:val="00D11E1C"/>
    <w:rsid w:val="00D129FE"/>
    <w:rsid w:val="00D160B0"/>
    <w:rsid w:val="00D17F94"/>
    <w:rsid w:val="00D223FC"/>
    <w:rsid w:val="00D26D1E"/>
    <w:rsid w:val="00D474CF"/>
    <w:rsid w:val="00D5547E"/>
    <w:rsid w:val="00D65DAE"/>
    <w:rsid w:val="00D6683E"/>
    <w:rsid w:val="00D86F84"/>
    <w:rsid w:val="00D90A28"/>
    <w:rsid w:val="00DA413F"/>
    <w:rsid w:val="00DA4584"/>
    <w:rsid w:val="00DA4D86"/>
    <w:rsid w:val="00DA614B"/>
    <w:rsid w:val="00DC3060"/>
    <w:rsid w:val="00DD2FED"/>
    <w:rsid w:val="00DD6F7D"/>
    <w:rsid w:val="00DE0FB2"/>
    <w:rsid w:val="00DF093E"/>
    <w:rsid w:val="00E01F42"/>
    <w:rsid w:val="00E02EFF"/>
    <w:rsid w:val="00E206D6"/>
    <w:rsid w:val="00E3366E"/>
    <w:rsid w:val="00E52086"/>
    <w:rsid w:val="00E543A6"/>
    <w:rsid w:val="00E60479"/>
    <w:rsid w:val="00E61D73"/>
    <w:rsid w:val="00E73684"/>
    <w:rsid w:val="00E818D6"/>
    <w:rsid w:val="00E87F7A"/>
    <w:rsid w:val="00E96119"/>
    <w:rsid w:val="00E96BD7"/>
    <w:rsid w:val="00EA0DB1"/>
    <w:rsid w:val="00EA0EE9"/>
    <w:rsid w:val="00EC1D6D"/>
    <w:rsid w:val="00EC6FD6"/>
    <w:rsid w:val="00ED52CA"/>
    <w:rsid w:val="00ED5860"/>
    <w:rsid w:val="00EE3233"/>
    <w:rsid w:val="00EE35C9"/>
    <w:rsid w:val="00F05ECA"/>
    <w:rsid w:val="00F3566E"/>
    <w:rsid w:val="00F375FB"/>
    <w:rsid w:val="00F41AC1"/>
    <w:rsid w:val="00F42DEB"/>
    <w:rsid w:val="00F4367A"/>
    <w:rsid w:val="00F445B1"/>
    <w:rsid w:val="00F45CD4"/>
    <w:rsid w:val="00F5241A"/>
    <w:rsid w:val="00F618C7"/>
    <w:rsid w:val="00F66DCA"/>
    <w:rsid w:val="00F74F53"/>
    <w:rsid w:val="00F7606D"/>
    <w:rsid w:val="00F760A2"/>
    <w:rsid w:val="00F81670"/>
    <w:rsid w:val="00F82024"/>
    <w:rsid w:val="00F913EC"/>
    <w:rsid w:val="00F95BC9"/>
    <w:rsid w:val="00FA026E"/>
    <w:rsid w:val="00FA624C"/>
    <w:rsid w:val="00FD0FAC"/>
    <w:rsid w:val="00FD1DFA"/>
    <w:rsid w:val="00FD4966"/>
    <w:rsid w:val="00FD4997"/>
    <w:rsid w:val="00FE57DC"/>
    <w:rsid w:val="00FF7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6411C"/>
  <w15:docId w15:val="{09849C59-C0C1-40EC-8961-90EE3F22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Subtitle" w:uiPriority="11"/>
    <w:lsdException w:name="Hyperlink"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uiPriority w:val="59"/>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4"/>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table" w:customStyle="1" w:styleId="TableGrid1">
    <w:name w:val="Table Grid1"/>
    <w:basedOn w:val="TableNormal"/>
    <w:next w:val="TableGrid"/>
    <w:uiPriority w:val="59"/>
    <w:rsid w:val="0057220C"/>
    <w:rPr>
      <w:rFonts w:eastAsiaTheme="minorHAnsi" w:cs="Arial"/>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78617759">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D7BD3E2B40EE4B99233DA35941ABA9" ma:contentTypeVersion="13" ma:contentTypeDescription="Create a new document." ma:contentTypeScope="" ma:versionID="3753deed2dcd7b610455b4fd9c0e3c90">
  <xsd:schema xmlns:xsd="http://www.w3.org/2001/XMLSchema" xmlns:xs="http://www.w3.org/2001/XMLSchema" xmlns:p="http://schemas.microsoft.com/office/2006/metadata/properties" xmlns:ns2="fdb8f1d2-729e-4e17-b922-d1876d49c6d9" xmlns:ns3="ca0c6f25-960b-4ad0-86ba-4742c0ecca1e" targetNamespace="http://schemas.microsoft.com/office/2006/metadata/properties" ma:root="true" ma:fieldsID="57be56f3673856d357bcc5d4eef83565" ns2:_="" ns3:_="">
    <xsd:import namespace="fdb8f1d2-729e-4e17-b922-d1876d49c6d9"/>
    <xsd:import namespace="ca0c6f25-960b-4ad0-86ba-4742c0ecca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8f1d2-729e-4e17-b922-d1876d49c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c6f25-960b-4ad0-86ba-4742c0ecca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ED3A9-6BDF-4C87-8DB3-375CA62C843E}">
  <ds:schemaRefs>
    <ds:schemaRef ds:uri="http://schemas.openxmlformats.org/officeDocument/2006/bibliography"/>
  </ds:schemaRefs>
</ds:datastoreItem>
</file>

<file path=customXml/itemProps2.xml><?xml version="1.0" encoding="utf-8"?>
<ds:datastoreItem xmlns:ds="http://schemas.openxmlformats.org/officeDocument/2006/customXml" ds:itemID="{C37D755B-781C-49F0-925A-074BA5E55C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C86FBE-29AF-4D30-AC38-ED0C598E4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8f1d2-729e-4e17-b922-d1876d49c6d9"/>
    <ds:schemaRef ds:uri="ca0c6f25-960b-4ad0-86ba-4742c0ecc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67E460-EE8C-47E7-942A-D76782304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2364</Words>
  <Characters>13477</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MALTON Jonathan</cp:lastModifiedBy>
  <cp:revision>2</cp:revision>
  <cp:lastPrinted>2015-07-03T12:50:00Z</cp:lastPrinted>
  <dcterms:created xsi:type="dcterms:W3CDTF">2024-11-20T09:58:00Z</dcterms:created>
  <dcterms:modified xsi:type="dcterms:W3CDTF">2024-11-20T09:58:00Z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0x01010045D7BD3E2B40EE4B99233DA35941ABA9</vt:lpwstr>
  </property>
</Properties>
</file>